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hint="eastAsia" w:ascii="Times New Roman" w:hAnsi="Times New Roman" w:eastAsia="方正小标宋_GBK" w:cs="Times New Roman"/>
          <w:bCs/>
          <w:color w:val="000000"/>
          <w:sz w:val="72"/>
          <w:szCs w:val="72"/>
        </w:rPr>
      </w:pPr>
      <w:r>
        <w:rPr>
          <w:rFonts w:hint="eastAsia" w:ascii="Times New Roman" w:hAnsi="Times New Roman" w:eastAsia="方正小标宋_GBK" w:cs="Times New Roman"/>
          <w:bCs/>
          <w:color w:val="000000"/>
          <w:sz w:val="72"/>
          <w:szCs w:val="72"/>
        </w:rPr>
        <w:t>建设项目环境影响报告表</w:t>
      </w:r>
    </w:p>
    <w:p>
      <w:pPr>
        <w:adjustRightInd w:val="0"/>
        <w:snapToGrid w:val="0"/>
        <w:spacing w:before="192" w:beforeLines="80"/>
        <w:jc w:val="center"/>
        <w:rPr>
          <w:rFonts w:hint="eastAsia" w:ascii="楷体_GB2312" w:hAnsi="Times New Roman" w:eastAsia="楷体_GB2312" w:cs="Times New Roman"/>
          <w:bCs/>
          <w:color w:val="000000"/>
          <w:sz w:val="48"/>
          <w:szCs w:val="48"/>
          <w:lang w:eastAsia="zh-CN"/>
        </w:rPr>
      </w:pPr>
      <w:r>
        <w:rPr>
          <w:rFonts w:hint="eastAsia" w:ascii="楷体_GB2312" w:hAnsi="Times New Roman" w:eastAsia="楷体_GB2312" w:cs="Times New Roman"/>
          <w:bCs/>
          <w:color w:val="000000"/>
          <w:sz w:val="48"/>
          <w:szCs w:val="48"/>
          <w:lang w:eastAsia="zh-CN"/>
        </w:rPr>
        <w:t>（</w:t>
      </w:r>
      <w:r>
        <w:rPr>
          <w:rFonts w:hint="eastAsia" w:ascii="楷体_GB2312" w:hAnsi="Times New Roman" w:eastAsia="楷体_GB2312" w:cs="Times New Roman"/>
          <w:bCs/>
          <w:color w:val="000000"/>
          <w:sz w:val="48"/>
          <w:szCs w:val="48"/>
          <w:lang w:val="en-US" w:eastAsia="zh-CN"/>
        </w:rPr>
        <w:t>生态</w:t>
      </w:r>
      <w:r>
        <w:rPr>
          <w:rFonts w:hint="eastAsia" w:ascii="楷体_GB2312" w:hAnsi="Times New Roman" w:eastAsia="楷体_GB2312" w:cs="Times New Roman"/>
          <w:bCs/>
          <w:color w:val="000000"/>
          <w:sz w:val="48"/>
          <w:szCs w:val="48"/>
        </w:rPr>
        <w:t>影响类</w:t>
      </w:r>
      <w:r>
        <w:rPr>
          <w:rFonts w:hint="eastAsia" w:ascii="楷体_GB2312" w:hAnsi="Times New Roman" w:eastAsia="楷体_GB2312" w:cs="Times New Roman"/>
          <w:bCs/>
          <w:color w:val="000000"/>
          <w:sz w:val="48"/>
          <w:szCs w:val="48"/>
          <w:lang w:eastAsia="zh-CN"/>
        </w:rPr>
        <w:t>）</w:t>
      </w:r>
    </w:p>
    <w:p>
      <w:pPr>
        <w:adjustRightInd w:val="0"/>
        <w:snapToGrid w:val="0"/>
        <w:spacing w:before="192" w:beforeLines="80"/>
        <w:jc w:val="center"/>
        <w:rPr>
          <w:rFonts w:hint="eastAsia"/>
          <w:sz w:val="48"/>
          <w:szCs w:val="48"/>
        </w:rPr>
      </w:pPr>
    </w:p>
    <w:p>
      <w:pPr>
        <w:jc w:val="center"/>
        <w:rPr>
          <w:rFonts w:hint="eastAsia"/>
          <w:sz w:val="48"/>
          <w:szCs w:val="48"/>
        </w:rPr>
      </w:pPr>
    </w:p>
    <w:p>
      <w:pPr>
        <w:adjustRightInd w:val="0"/>
        <w:snapToGrid w:val="0"/>
        <w:spacing w:before="192" w:beforeLines="80"/>
        <w:jc w:val="both"/>
        <w:rPr>
          <w:rFonts w:hint="eastAsia"/>
          <w:sz w:val="48"/>
          <w:szCs w:val="4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sz w:val="30"/>
          <w:szCs w:val="3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30"/>
          <w:szCs w:val="30"/>
        </w:rPr>
      </w:pPr>
    </w:p>
    <w:p>
      <w:pPr>
        <w:spacing w:line="360" w:lineRule="auto"/>
        <w:ind w:left="3245" w:leftChars="152" w:hanging="2880" w:hangingChars="800"/>
        <w:rPr>
          <w:rFonts w:hint="default" w:ascii="Times New Roman" w:hAnsi="Times New Roman" w:eastAsia="仿宋_GB2312" w:cs="Times New Roman"/>
          <w:color w:val="000000"/>
          <w:sz w:val="36"/>
          <w:szCs w:val="36"/>
          <w:u w:val="single"/>
          <w:lang w:val="en-US" w:eastAsia="zh-CN"/>
        </w:rPr>
      </w:pPr>
      <w:r>
        <w:rPr>
          <w:rFonts w:hint="default" w:ascii="Times New Roman" w:hAnsi="Times New Roman" w:eastAsia="仿宋_GB2312" w:cs="Times New Roman"/>
          <w:color w:val="000000"/>
          <w:sz w:val="36"/>
          <w:szCs w:val="36"/>
          <w:u w:val="none"/>
        </w:rPr>
        <w:t>项目名称</w:t>
      </w:r>
      <w:r>
        <w:rPr>
          <w:rFonts w:hint="eastAsia" w:ascii="Times New Roman" w:hAnsi="Times New Roman" w:eastAsia="仿宋_GB2312" w:cs="Times New Roman"/>
          <w:color w:val="000000"/>
          <w:sz w:val="36"/>
          <w:szCs w:val="36"/>
          <w:u w:val="none"/>
          <w:lang w:eastAsia="zh-CN"/>
        </w:rPr>
        <w:t>：</w:t>
      </w:r>
      <w:r>
        <w:rPr>
          <w:rFonts w:hint="eastAsia" w:eastAsia="仿宋_GB2312" w:cs="Times New Roman"/>
          <w:color w:val="000000"/>
          <w:sz w:val="36"/>
          <w:szCs w:val="36"/>
          <w:u w:val="single"/>
          <w:lang w:val="en-US" w:eastAsia="zh-CN"/>
        </w:rPr>
        <w:t xml:space="preserve">    </w:t>
      </w:r>
      <w:r>
        <w:rPr>
          <w:rFonts w:hint="eastAsia" w:ascii="Times New Roman" w:hAnsi="Times New Roman" w:eastAsia="仿宋_GB2312" w:cs="Times New Roman"/>
          <w:color w:val="000000"/>
          <w:sz w:val="36"/>
          <w:szCs w:val="36"/>
          <w:u w:val="single"/>
          <w:lang w:eastAsia="zh-CN"/>
        </w:rPr>
        <w:t>喀什国际航空货运区建设项目</w:t>
      </w:r>
      <w:r>
        <w:rPr>
          <w:rFonts w:hint="eastAsia" w:ascii="Times New Roman" w:hAnsi="Times New Roman" w:eastAsia="仿宋_GB2312" w:cs="Times New Roman"/>
          <w:color w:val="000000"/>
          <w:sz w:val="36"/>
          <w:szCs w:val="36"/>
          <w:u w:val="single"/>
          <w:lang w:val="en-US" w:eastAsia="zh-CN"/>
        </w:rPr>
        <w:t xml:space="preserve">         </w:t>
      </w:r>
    </w:p>
    <w:p>
      <w:pPr>
        <w:spacing w:line="360" w:lineRule="auto"/>
        <w:ind w:firstLine="2160" w:firstLineChars="600"/>
        <w:rPr>
          <w:rFonts w:hint="default" w:ascii="Times New Roman" w:hAnsi="Times New Roman" w:eastAsia="仿宋_GB2312" w:cs="Times New Roman"/>
          <w:color w:val="000000"/>
          <w:sz w:val="36"/>
          <w:szCs w:val="36"/>
          <w:u w:val="single"/>
          <w:lang w:val="en-US" w:eastAsia="zh-CN"/>
        </w:rPr>
      </w:pPr>
      <w:r>
        <w:rPr>
          <w:rFonts w:hint="eastAsia" w:ascii="Times New Roman" w:hAnsi="Times New Roman" w:eastAsia="仿宋_GB2312" w:cs="Times New Roman"/>
          <w:color w:val="000000"/>
          <w:sz w:val="36"/>
          <w:szCs w:val="36"/>
          <w:u w:val="single"/>
          <w:lang w:val="en-US" w:eastAsia="zh-CN"/>
        </w:rPr>
        <w:t xml:space="preserve">         </w:t>
      </w:r>
      <w:r>
        <w:rPr>
          <w:rFonts w:hint="default" w:ascii="Times New Roman" w:hAnsi="Times New Roman" w:eastAsia="仿宋_GB2312" w:cs="Times New Roman"/>
          <w:color w:val="000000"/>
          <w:sz w:val="36"/>
          <w:szCs w:val="36"/>
          <w:u w:val="single"/>
        </w:rPr>
        <w:t>（非民航工程一期）</w:t>
      </w:r>
      <w:r>
        <w:rPr>
          <w:rFonts w:hint="eastAsia" w:ascii="Times New Roman" w:hAnsi="Times New Roman" w:eastAsia="仿宋_GB2312" w:cs="Times New Roman"/>
          <w:color w:val="000000"/>
          <w:sz w:val="36"/>
          <w:szCs w:val="36"/>
          <w:u w:val="single"/>
          <w:lang w:val="en-US" w:eastAsia="zh-CN"/>
        </w:rPr>
        <w:t xml:space="preserve">    </w:t>
      </w:r>
      <w:r>
        <w:rPr>
          <w:rFonts w:hint="eastAsia" w:eastAsia="仿宋_GB2312" w:cs="Times New Roman"/>
          <w:color w:val="000000"/>
          <w:sz w:val="36"/>
          <w:szCs w:val="36"/>
          <w:u w:val="single"/>
          <w:lang w:val="en-US" w:eastAsia="zh-CN"/>
        </w:rPr>
        <w:t xml:space="preserve">         </w:t>
      </w:r>
      <w:r>
        <w:rPr>
          <w:rFonts w:hint="eastAsia" w:ascii="Times New Roman" w:hAnsi="Times New Roman" w:eastAsia="仿宋_GB2312" w:cs="Times New Roman"/>
          <w:color w:val="000000"/>
          <w:sz w:val="36"/>
          <w:szCs w:val="36"/>
          <w:u w:val="single"/>
          <w:lang w:val="en-US" w:eastAsia="zh-CN"/>
        </w:rPr>
        <w:t xml:space="preserve"> </w:t>
      </w:r>
    </w:p>
    <w:p>
      <w:pPr>
        <w:spacing w:line="360" w:lineRule="auto"/>
        <w:ind w:firstLine="360" w:firstLineChars="100"/>
        <w:rPr>
          <w:rFonts w:hint="default" w:ascii="Times New Roman" w:hAnsi="Times New Roman" w:eastAsia="仿宋_GB2312" w:cs="Times New Roman"/>
          <w:color w:val="000000"/>
          <w:sz w:val="36"/>
          <w:szCs w:val="36"/>
          <w:u w:val="single"/>
          <w:lang w:val="en-US" w:eastAsia="zh-CN"/>
        </w:rPr>
      </w:pPr>
      <w:r>
        <w:rPr>
          <w:rFonts w:hint="default" w:ascii="Times New Roman" w:hAnsi="Times New Roman" w:eastAsia="仿宋_GB2312" w:cs="Times New Roman"/>
          <w:color w:val="000000"/>
          <w:sz w:val="36"/>
          <w:szCs w:val="36"/>
          <w:u w:val="none"/>
        </w:rPr>
        <w:t>建设单位</w:t>
      </w:r>
      <w:r>
        <w:rPr>
          <w:rFonts w:hint="eastAsia" w:ascii="Times New Roman" w:hAnsi="Times New Roman" w:eastAsia="仿宋_GB2312" w:cs="Times New Roman"/>
          <w:color w:val="000000"/>
          <w:sz w:val="36"/>
          <w:szCs w:val="36"/>
          <w:u w:val="none"/>
          <w:lang w:eastAsia="zh-CN"/>
        </w:rPr>
        <w:t>（</w:t>
      </w:r>
      <w:r>
        <w:rPr>
          <w:rFonts w:hint="default" w:ascii="Times New Roman" w:hAnsi="Times New Roman" w:eastAsia="仿宋_GB2312" w:cs="Times New Roman"/>
          <w:color w:val="000000"/>
          <w:sz w:val="36"/>
          <w:szCs w:val="36"/>
          <w:u w:val="none"/>
        </w:rPr>
        <w:t>盖章</w:t>
      </w:r>
      <w:r>
        <w:rPr>
          <w:rFonts w:hint="eastAsia" w:ascii="Times New Roman" w:hAnsi="Times New Roman" w:eastAsia="仿宋_GB2312" w:cs="Times New Roman"/>
          <w:color w:val="000000"/>
          <w:sz w:val="36"/>
          <w:szCs w:val="36"/>
          <w:u w:val="none"/>
          <w:lang w:eastAsia="zh-CN"/>
        </w:rPr>
        <w:t>）：</w:t>
      </w:r>
      <w:r>
        <w:rPr>
          <w:rFonts w:hint="eastAsia" w:eastAsia="仿宋_GB2312" w:cs="Times New Roman"/>
          <w:color w:val="000000"/>
          <w:sz w:val="36"/>
          <w:szCs w:val="36"/>
          <w:u w:val="single"/>
          <w:lang w:val="en-US" w:eastAsia="zh-CN"/>
        </w:rPr>
        <w:t xml:space="preserve">  </w:t>
      </w:r>
      <w:r>
        <w:rPr>
          <w:rFonts w:hint="default" w:ascii="Times New Roman" w:hAnsi="Times New Roman" w:eastAsia="仿宋_GB2312" w:cs="Times New Roman"/>
          <w:color w:val="000000"/>
          <w:sz w:val="36"/>
          <w:szCs w:val="36"/>
          <w:u w:val="single"/>
          <w:lang w:val="en-US" w:eastAsia="zh-CN"/>
        </w:rPr>
        <w:t>喀什综合保税区管理委员会</w:t>
      </w:r>
      <w:r>
        <w:rPr>
          <w:rFonts w:hint="eastAsia" w:ascii="Times New Roman" w:hAnsi="Times New Roman" w:eastAsia="仿宋_GB2312" w:cs="Times New Roman"/>
          <w:color w:val="000000"/>
          <w:sz w:val="36"/>
          <w:szCs w:val="36"/>
          <w:u w:val="single"/>
          <w:lang w:val="en-US" w:eastAsia="zh-CN"/>
        </w:rPr>
        <w:t xml:space="preserve">    </w:t>
      </w:r>
    </w:p>
    <w:p>
      <w:pPr>
        <w:spacing w:line="360" w:lineRule="auto"/>
        <w:ind w:firstLine="360" w:firstLineChars="100"/>
        <w:rPr>
          <w:rFonts w:hint="default" w:ascii="Times New Roman" w:hAnsi="Times New Roman" w:eastAsia="仿宋_GB2312" w:cs="Times New Roman"/>
          <w:color w:val="000000"/>
          <w:sz w:val="36"/>
          <w:szCs w:val="36"/>
          <w:u w:val="single"/>
          <w:lang w:val="en-US" w:eastAsia="zh-CN"/>
        </w:rPr>
      </w:pPr>
      <w:r>
        <w:rPr>
          <w:rFonts w:hint="default" w:ascii="Times New Roman" w:hAnsi="Times New Roman" w:eastAsia="仿宋_GB2312" w:cs="Times New Roman"/>
          <w:color w:val="000000"/>
          <w:sz w:val="36"/>
          <w:szCs w:val="36"/>
          <w:u w:val="none"/>
          <w:lang w:val="en-US" w:eastAsia="zh-CN"/>
        </w:rPr>
        <w:t>编制时间：</w:t>
      </w:r>
      <w:r>
        <w:rPr>
          <w:rFonts w:hint="eastAsia" w:ascii="Times New Roman" w:hAnsi="Times New Roman" w:eastAsia="仿宋_GB2312" w:cs="Times New Roman"/>
          <w:color w:val="000000"/>
          <w:sz w:val="36"/>
          <w:szCs w:val="36"/>
          <w:u w:val="single"/>
          <w:lang w:val="en-US" w:eastAsia="zh-CN"/>
        </w:rPr>
        <w:t xml:space="preserve">       </w:t>
      </w:r>
      <w:r>
        <w:rPr>
          <w:rFonts w:hint="eastAsia" w:eastAsia="仿宋_GB2312" w:cs="Times New Roman"/>
          <w:color w:val="000000"/>
          <w:sz w:val="36"/>
          <w:szCs w:val="36"/>
          <w:u w:val="single"/>
          <w:lang w:val="en-US" w:eastAsia="zh-CN"/>
        </w:rPr>
        <w:t xml:space="preserve">         </w:t>
      </w:r>
      <w:bookmarkStart w:id="1" w:name="_GoBack"/>
      <w:bookmarkEnd w:id="1"/>
      <w:r>
        <w:rPr>
          <w:rFonts w:hint="default" w:ascii="Times New Roman" w:hAnsi="Times New Roman" w:eastAsia="仿宋_GB2312" w:cs="Times New Roman"/>
          <w:color w:val="000000"/>
          <w:sz w:val="36"/>
          <w:szCs w:val="36"/>
          <w:u w:val="single"/>
          <w:lang w:val="en-US" w:eastAsia="zh-CN"/>
        </w:rPr>
        <w:t>20</w:t>
      </w:r>
      <w:r>
        <w:rPr>
          <w:rFonts w:hint="eastAsia" w:ascii="Times New Roman" w:hAnsi="Times New Roman" w:eastAsia="仿宋_GB2312" w:cs="Times New Roman"/>
          <w:color w:val="000000"/>
          <w:sz w:val="36"/>
          <w:szCs w:val="36"/>
          <w:u w:val="single"/>
          <w:lang w:val="en-US" w:eastAsia="zh-CN"/>
        </w:rPr>
        <w:t>24</w:t>
      </w:r>
      <w:r>
        <w:rPr>
          <w:rFonts w:hint="default" w:ascii="Times New Roman" w:hAnsi="Times New Roman" w:eastAsia="仿宋_GB2312" w:cs="Times New Roman"/>
          <w:color w:val="000000"/>
          <w:sz w:val="36"/>
          <w:szCs w:val="36"/>
          <w:u w:val="single"/>
          <w:lang w:val="en-US" w:eastAsia="zh-CN"/>
        </w:rPr>
        <w:t>年</w:t>
      </w:r>
      <w:r>
        <w:rPr>
          <w:rFonts w:hint="eastAsia" w:ascii="Times New Roman" w:hAnsi="Times New Roman" w:eastAsia="仿宋_GB2312" w:cs="Times New Roman"/>
          <w:color w:val="000000"/>
          <w:sz w:val="36"/>
          <w:szCs w:val="36"/>
          <w:u w:val="single"/>
          <w:lang w:val="en-US" w:eastAsia="zh-CN"/>
        </w:rPr>
        <w:t>3</w:t>
      </w:r>
      <w:r>
        <w:rPr>
          <w:rFonts w:hint="default" w:ascii="Times New Roman" w:hAnsi="Times New Roman" w:eastAsia="仿宋_GB2312" w:cs="Times New Roman"/>
          <w:color w:val="000000"/>
          <w:sz w:val="36"/>
          <w:szCs w:val="36"/>
          <w:u w:val="single"/>
          <w:lang w:val="en-US" w:eastAsia="zh-CN"/>
        </w:rPr>
        <w:t>月</w:t>
      </w:r>
      <w:r>
        <w:rPr>
          <w:rFonts w:hint="eastAsia" w:ascii="Times New Roman" w:hAnsi="Times New Roman" w:eastAsia="仿宋_GB2312" w:cs="Times New Roman"/>
          <w:color w:val="000000"/>
          <w:sz w:val="36"/>
          <w:szCs w:val="3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宋体" w:cs="Times New Roman"/>
          <w:b w:val="0"/>
          <w:bCs w:val="0"/>
          <w:sz w:val="32"/>
          <w:szCs w:val="32"/>
          <w:lang w:val="en-US" w:eastAsia="zh-CN"/>
        </w:rPr>
      </w:pPr>
      <w:r>
        <w:rPr>
          <w:rFonts w:hint="eastAsia" w:ascii="Times New Roman" w:hAnsi="Times New Roman" w:eastAsia="宋体" w:cs="Times New Roman"/>
          <w:b w:val="0"/>
          <w:bCs w:val="0"/>
          <w:sz w:val="32"/>
          <w:szCs w:val="32"/>
          <w:lang w:val="en-US" w:eastAsia="zh-CN"/>
        </w:rPr>
        <w:t xml:space="preserve"> </w:t>
      </w:r>
    </w:p>
    <w:p>
      <w:pPr>
        <w:adjustRightInd w:val="0"/>
        <w:snapToGrid w:val="0"/>
        <w:spacing w:line="288" w:lineRule="auto"/>
        <w:ind w:firstLine="1040"/>
        <w:rPr>
          <w:rFonts w:eastAsia="仿宋_GB2312"/>
          <w:color w:val="000000"/>
          <w:sz w:val="36"/>
          <w:szCs w:val="36"/>
        </w:rPr>
      </w:pPr>
    </w:p>
    <w:p>
      <w:pPr>
        <w:adjustRightInd w:val="0"/>
        <w:snapToGrid w:val="0"/>
        <w:spacing w:line="288" w:lineRule="auto"/>
        <w:jc w:val="center"/>
        <w:rPr>
          <w:rFonts w:eastAsia="楷体_GB2312"/>
          <w:color w:val="000000"/>
          <w:sz w:val="36"/>
          <w:szCs w:val="36"/>
        </w:rPr>
      </w:pPr>
    </w:p>
    <w:p>
      <w:pPr>
        <w:adjustRightInd w:val="0"/>
        <w:snapToGrid w:val="0"/>
        <w:spacing w:line="288" w:lineRule="auto"/>
        <w:jc w:val="center"/>
        <w:rPr>
          <w:rFonts w:eastAsia="楷体_GB2312"/>
          <w:color w:val="000000"/>
          <w:sz w:val="36"/>
          <w:szCs w:val="36"/>
        </w:rPr>
      </w:pPr>
    </w:p>
    <w:p>
      <w:pPr>
        <w:adjustRightInd w:val="0"/>
        <w:snapToGrid w:val="0"/>
        <w:spacing w:line="288" w:lineRule="auto"/>
        <w:jc w:val="center"/>
        <w:rPr>
          <w:rFonts w:eastAsia="楷体_GB2312"/>
          <w:color w:val="000000"/>
          <w:sz w:val="36"/>
          <w:szCs w:val="36"/>
        </w:rPr>
      </w:pPr>
    </w:p>
    <w:p>
      <w:pPr>
        <w:adjustRightInd w:val="0"/>
        <w:snapToGrid w:val="0"/>
        <w:spacing w:line="288" w:lineRule="auto"/>
        <w:jc w:val="center"/>
        <w:rPr>
          <w:rFonts w:hint="default" w:ascii="Times New Roman" w:hAnsi="Times New Roman" w:eastAsia="仿宋_GB2312" w:cs="Times New Roman"/>
          <w:color w:val="000000"/>
          <w:sz w:val="36"/>
          <w:szCs w:val="36"/>
          <w:lang w:val="en-US" w:eastAsia="zh-CN"/>
        </w:rPr>
      </w:pPr>
      <w:r>
        <w:rPr>
          <w:rFonts w:eastAsia="楷体_GB2312"/>
          <w:color w:val="000000"/>
          <w:sz w:val="36"/>
          <w:szCs w:val="36"/>
        </w:rPr>
        <w:t>中华人民共和国生态环境部制</w:t>
      </w:r>
    </w:p>
    <w:p>
      <w:pPr>
        <w:pStyle w:val="19"/>
        <w:adjustRightInd w:val="0"/>
        <w:snapToGrid w:val="0"/>
        <w:spacing w:before="0" w:beforeAutospacing="0" w:after="0" w:afterAutospacing="0"/>
        <w:jc w:val="both"/>
        <w:outlineLvl w:val="0"/>
        <w:rPr>
          <w:rFonts w:ascii="Times New Roman" w:hAnsi="Times New Roman" w:eastAsia="黑体"/>
          <w:snapToGrid w:val="0"/>
          <w:kern w:val="21"/>
          <w:sz w:val="30"/>
          <w:szCs w:val="30"/>
        </w:rPr>
        <w:sectPr>
          <w:footerReference r:id="rId3" w:type="default"/>
          <w:pgSz w:w="11906" w:h="16838"/>
          <w:pgMar w:top="1701" w:right="1531" w:bottom="1701" w:left="1531" w:header="851" w:footer="1077" w:gutter="0"/>
          <w:pgNumType w:start="1"/>
          <w:cols w:space="720" w:num="1"/>
          <w:docGrid w:linePitch="312" w:charSpace="0"/>
        </w:sectPr>
      </w:pPr>
    </w:p>
    <w:tbl>
      <w:tblPr>
        <w:tblStyle w:val="45"/>
        <w:tblW w:w="10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80"/>
        <w:gridCol w:w="700"/>
        <w:gridCol w:w="3800"/>
        <w:gridCol w:w="13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2" w:hRule="atLeast"/>
          <w:jc w:val="center"/>
        </w:trPr>
        <w:tc>
          <w:tcPr>
            <w:tcW w:w="5180" w:type="dxa"/>
            <w:gridSpan w:val="2"/>
            <w:vAlign w:val="top"/>
          </w:tcPr>
          <w:p>
            <w:pPr>
              <w:spacing w:before="64" w:line="3870" w:lineRule="exact"/>
              <w:ind w:firstLine="35"/>
            </w:pPr>
            <w:r>
              <w:rPr>
                <w:position w:val="-77"/>
              </w:rPr>
              <w:drawing>
                <wp:inline distT="0" distB="0" distL="0" distR="0">
                  <wp:extent cx="3237865" cy="2457450"/>
                  <wp:effectExtent l="0" t="0" r="635" b="0"/>
                  <wp:docPr id="65" name="IM 2"/>
                  <wp:cNvGraphicFramePr/>
                  <a:graphic xmlns:a="http://schemas.openxmlformats.org/drawingml/2006/main">
                    <a:graphicData uri="http://schemas.openxmlformats.org/drawingml/2006/picture">
                      <pic:pic xmlns:pic="http://schemas.openxmlformats.org/drawingml/2006/picture">
                        <pic:nvPicPr>
                          <pic:cNvPr id="65" name="IM 2"/>
                          <pic:cNvPicPr/>
                        </pic:nvPicPr>
                        <pic:blipFill>
                          <a:blip r:embed="rId5"/>
                          <a:stretch>
                            <a:fillRect/>
                          </a:stretch>
                        </pic:blipFill>
                        <pic:spPr>
                          <a:xfrm>
                            <a:off x="0" y="0"/>
                            <a:ext cx="3238487" cy="2457450"/>
                          </a:xfrm>
                          <a:prstGeom prst="rect">
                            <a:avLst/>
                          </a:prstGeom>
                        </pic:spPr>
                      </pic:pic>
                    </a:graphicData>
                  </a:graphic>
                </wp:inline>
              </w:drawing>
            </w:r>
          </w:p>
        </w:tc>
        <w:tc>
          <w:tcPr>
            <w:tcW w:w="5133" w:type="dxa"/>
            <w:gridSpan w:val="2"/>
            <w:vAlign w:val="top"/>
          </w:tcPr>
          <w:p>
            <w:pPr>
              <w:spacing w:before="134" w:line="3840" w:lineRule="exact"/>
              <w:ind w:firstLine="75"/>
            </w:pPr>
            <w:r>
              <w:rPr>
                <w:position w:val="-76"/>
              </w:rPr>
              <w:drawing>
                <wp:inline distT="0" distB="0" distL="0" distR="0">
                  <wp:extent cx="3244215" cy="2438400"/>
                  <wp:effectExtent l="0" t="0" r="13335" b="0"/>
                  <wp:docPr id="66" name="IM 4"/>
                  <wp:cNvGraphicFramePr/>
                  <a:graphic xmlns:a="http://schemas.openxmlformats.org/drawingml/2006/main">
                    <a:graphicData uri="http://schemas.openxmlformats.org/drawingml/2006/picture">
                      <pic:pic xmlns:pic="http://schemas.openxmlformats.org/drawingml/2006/picture">
                        <pic:nvPicPr>
                          <pic:cNvPr id="66" name="IM 4"/>
                          <pic:cNvPicPr/>
                        </pic:nvPicPr>
                        <pic:blipFill>
                          <a:blip r:embed="rId6"/>
                          <a:stretch>
                            <a:fillRect/>
                          </a:stretch>
                        </pic:blipFill>
                        <pic:spPr>
                          <a:xfrm>
                            <a:off x="0" y="0"/>
                            <a:ext cx="3244841" cy="24384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313" w:type="dxa"/>
            <w:gridSpan w:val="4"/>
            <w:vAlign w:val="top"/>
          </w:tcPr>
          <w:p>
            <w:pPr>
              <w:spacing w:before="49" w:line="216" w:lineRule="auto"/>
              <w:ind w:left="4238"/>
              <w:rPr>
                <w:rFonts w:ascii="宋体" w:hAnsi="宋体" w:eastAsia="宋体" w:cs="宋体"/>
                <w:sz w:val="24"/>
                <w:szCs w:val="24"/>
              </w:rPr>
            </w:pPr>
            <w:r>
              <w:rPr>
                <w:rFonts w:ascii="宋体" w:hAnsi="宋体" w:eastAsia="宋体" w:cs="宋体"/>
                <w:b/>
                <w:bCs/>
                <w:spacing w:val="-5"/>
                <w:sz w:val="24"/>
                <w:szCs w:val="24"/>
              </w:rPr>
              <w:t>管线起点周边环境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7" w:hRule="atLeast"/>
          <w:jc w:val="center"/>
        </w:trPr>
        <w:tc>
          <w:tcPr>
            <w:tcW w:w="5180" w:type="dxa"/>
            <w:gridSpan w:val="2"/>
            <w:vAlign w:val="top"/>
          </w:tcPr>
          <w:p>
            <w:pPr>
              <w:spacing w:before="22" w:line="3991" w:lineRule="exact"/>
              <w:ind w:firstLine="25"/>
            </w:pPr>
            <w:r>
              <w:rPr>
                <w:position w:val="-79"/>
              </w:rPr>
              <w:drawing>
                <wp:inline distT="0" distB="0" distL="0" distR="0">
                  <wp:extent cx="3244215" cy="2533650"/>
                  <wp:effectExtent l="0" t="0" r="13335" b="0"/>
                  <wp:docPr id="67" name="IM 6"/>
                  <wp:cNvGraphicFramePr/>
                  <a:graphic xmlns:a="http://schemas.openxmlformats.org/drawingml/2006/main">
                    <a:graphicData uri="http://schemas.openxmlformats.org/drawingml/2006/picture">
                      <pic:pic xmlns:pic="http://schemas.openxmlformats.org/drawingml/2006/picture">
                        <pic:nvPicPr>
                          <pic:cNvPr id="67" name="IM 6"/>
                          <pic:cNvPicPr/>
                        </pic:nvPicPr>
                        <pic:blipFill>
                          <a:blip r:embed="rId7"/>
                          <a:stretch>
                            <a:fillRect/>
                          </a:stretch>
                        </pic:blipFill>
                        <pic:spPr>
                          <a:xfrm>
                            <a:off x="0" y="0"/>
                            <a:ext cx="3244840" cy="2533694"/>
                          </a:xfrm>
                          <a:prstGeom prst="rect">
                            <a:avLst/>
                          </a:prstGeom>
                        </pic:spPr>
                      </pic:pic>
                    </a:graphicData>
                  </a:graphic>
                </wp:inline>
              </w:drawing>
            </w:r>
          </w:p>
        </w:tc>
        <w:tc>
          <w:tcPr>
            <w:tcW w:w="5133" w:type="dxa"/>
            <w:gridSpan w:val="2"/>
            <w:vAlign w:val="top"/>
          </w:tcPr>
          <w:p>
            <w:pPr>
              <w:spacing w:before="152" w:line="3820" w:lineRule="exact"/>
              <w:ind w:firstLine="55"/>
            </w:pPr>
            <w:r>
              <w:rPr>
                <w:position w:val="-76"/>
              </w:rPr>
              <w:drawing>
                <wp:inline distT="0" distB="0" distL="0" distR="0">
                  <wp:extent cx="3256915" cy="2425065"/>
                  <wp:effectExtent l="0" t="0" r="635" b="13335"/>
                  <wp:docPr id="68" name="IM 8"/>
                  <wp:cNvGraphicFramePr/>
                  <a:graphic xmlns:a="http://schemas.openxmlformats.org/drawingml/2006/main">
                    <a:graphicData uri="http://schemas.openxmlformats.org/drawingml/2006/picture">
                      <pic:pic xmlns:pic="http://schemas.openxmlformats.org/drawingml/2006/picture">
                        <pic:nvPicPr>
                          <pic:cNvPr id="68" name="IM 8"/>
                          <pic:cNvPicPr/>
                        </pic:nvPicPr>
                        <pic:blipFill>
                          <a:blip r:embed="rId8"/>
                          <a:stretch>
                            <a:fillRect/>
                          </a:stretch>
                        </pic:blipFill>
                        <pic:spPr>
                          <a:xfrm>
                            <a:off x="0" y="0"/>
                            <a:ext cx="3257546" cy="242569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0313" w:type="dxa"/>
            <w:gridSpan w:val="4"/>
            <w:vAlign w:val="top"/>
          </w:tcPr>
          <w:p>
            <w:pPr>
              <w:spacing w:before="52" w:line="213" w:lineRule="auto"/>
              <w:ind w:left="4238"/>
              <w:rPr>
                <w:rFonts w:ascii="宋体" w:hAnsi="宋体" w:eastAsia="宋体" w:cs="宋体"/>
                <w:sz w:val="24"/>
                <w:szCs w:val="24"/>
              </w:rPr>
            </w:pPr>
            <w:r>
              <w:rPr>
                <w:rFonts w:ascii="宋体" w:hAnsi="宋体" w:eastAsia="宋体" w:cs="宋体"/>
                <w:b/>
                <w:bCs/>
                <w:spacing w:val="-5"/>
                <w:sz w:val="24"/>
                <w:szCs w:val="24"/>
              </w:rPr>
              <w:t>管线中段周边环境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7" w:hRule="atLeast"/>
          <w:jc w:val="center"/>
        </w:trPr>
        <w:tc>
          <w:tcPr>
            <w:tcW w:w="5180" w:type="dxa"/>
            <w:gridSpan w:val="2"/>
            <w:vAlign w:val="top"/>
          </w:tcPr>
          <w:p>
            <w:pPr>
              <w:spacing w:before="86" w:line="3850" w:lineRule="exact"/>
              <w:ind w:firstLine="25"/>
            </w:pPr>
            <w:r>
              <w:rPr>
                <w:position w:val="-76"/>
              </w:rPr>
              <w:drawing>
                <wp:inline distT="0" distB="0" distL="0" distR="0">
                  <wp:extent cx="3244215" cy="2444115"/>
                  <wp:effectExtent l="0" t="0" r="13335" b="13335"/>
                  <wp:docPr id="69" name="IM 10"/>
                  <wp:cNvGraphicFramePr/>
                  <a:graphic xmlns:a="http://schemas.openxmlformats.org/drawingml/2006/main">
                    <a:graphicData uri="http://schemas.openxmlformats.org/drawingml/2006/picture">
                      <pic:pic xmlns:pic="http://schemas.openxmlformats.org/drawingml/2006/picture">
                        <pic:nvPicPr>
                          <pic:cNvPr id="69" name="IM 10"/>
                          <pic:cNvPicPr/>
                        </pic:nvPicPr>
                        <pic:blipFill>
                          <a:blip r:embed="rId9"/>
                          <a:stretch>
                            <a:fillRect/>
                          </a:stretch>
                        </pic:blipFill>
                        <pic:spPr>
                          <a:xfrm>
                            <a:off x="0" y="0"/>
                            <a:ext cx="3244840" cy="2444725"/>
                          </a:xfrm>
                          <a:prstGeom prst="rect">
                            <a:avLst/>
                          </a:prstGeom>
                        </pic:spPr>
                      </pic:pic>
                    </a:graphicData>
                  </a:graphic>
                </wp:inline>
              </w:drawing>
            </w:r>
          </w:p>
        </w:tc>
        <w:tc>
          <w:tcPr>
            <w:tcW w:w="5133" w:type="dxa"/>
            <w:gridSpan w:val="2"/>
            <w:vAlign w:val="top"/>
          </w:tcPr>
          <w:p>
            <w:pPr>
              <w:spacing w:before="66" w:line="3861" w:lineRule="exact"/>
              <w:ind w:firstLine="75"/>
            </w:pPr>
            <w:r>
              <w:rPr>
                <w:position w:val="-77"/>
              </w:rPr>
              <w:drawing>
                <wp:inline distT="0" distB="0" distL="0" distR="0">
                  <wp:extent cx="3244215" cy="2451100"/>
                  <wp:effectExtent l="0" t="0" r="13335" b="6350"/>
                  <wp:docPr id="70" name="IM 12"/>
                  <wp:cNvGraphicFramePr/>
                  <a:graphic xmlns:a="http://schemas.openxmlformats.org/drawingml/2006/main">
                    <a:graphicData uri="http://schemas.openxmlformats.org/drawingml/2006/picture">
                      <pic:pic xmlns:pic="http://schemas.openxmlformats.org/drawingml/2006/picture">
                        <pic:nvPicPr>
                          <pic:cNvPr id="70" name="IM 12"/>
                          <pic:cNvPicPr/>
                        </pic:nvPicPr>
                        <pic:blipFill>
                          <a:blip r:embed="rId10"/>
                          <a:stretch>
                            <a:fillRect/>
                          </a:stretch>
                        </pic:blipFill>
                        <pic:spPr>
                          <a:xfrm>
                            <a:off x="0" y="0"/>
                            <a:ext cx="3244841" cy="245114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10313" w:type="dxa"/>
            <w:gridSpan w:val="4"/>
            <w:vAlign w:val="top"/>
          </w:tcPr>
          <w:p>
            <w:pPr>
              <w:spacing w:before="56" w:line="206" w:lineRule="auto"/>
              <w:ind w:left="4238"/>
              <w:rPr>
                <w:rFonts w:ascii="宋体" w:hAnsi="宋体" w:eastAsia="宋体" w:cs="宋体"/>
                <w:sz w:val="24"/>
                <w:szCs w:val="24"/>
              </w:rPr>
            </w:pPr>
            <w:r>
              <w:rPr>
                <w:rFonts w:ascii="宋体" w:hAnsi="宋体" w:eastAsia="宋体" w:cs="宋体"/>
                <w:b/>
                <w:bCs/>
                <w:spacing w:val="-5"/>
                <w:sz w:val="24"/>
                <w:szCs w:val="24"/>
              </w:rPr>
              <w:t>管线终点周边环境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3" w:type="dxa"/>
          <w:trHeight w:val="5540" w:hRule="atLeast"/>
          <w:jc w:val="center"/>
        </w:trPr>
        <w:tc>
          <w:tcPr>
            <w:tcW w:w="4480" w:type="dxa"/>
            <w:tcBorders>
              <w:bottom w:val="nil"/>
            </w:tcBorders>
            <w:vAlign w:val="top"/>
          </w:tcPr>
          <w:p>
            <w:pPr>
              <w:spacing w:before="54" w:line="5471" w:lineRule="exact"/>
              <w:ind w:firstLine="45"/>
            </w:pPr>
            <w:r>
              <w:rPr>
                <w:position w:val="-109"/>
              </w:rPr>
              <w:drawing>
                <wp:inline distT="0" distB="0" distL="0" distR="0">
                  <wp:extent cx="2762250" cy="3473450"/>
                  <wp:effectExtent l="0" t="0" r="0" b="12700"/>
                  <wp:docPr id="71" name="IM 2"/>
                  <wp:cNvGraphicFramePr/>
                  <a:graphic xmlns:a="http://schemas.openxmlformats.org/drawingml/2006/main">
                    <a:graphicData uri="http://schemas.openxmlformats.org/drawingml/2006/picture">
                      <pic:pic xmlns:pic="http://schemas.openxmlformats.org/drawingml/2006/picture">
                        <pic:nvPicPr>
                          <pic:cNvPr id="71" name="IM 2"/>
                          <pic:cNvPicPr/>
                        </pic:nvPicPr>
                        <pic:blipFill>
                          <a:blip r:embed="rId11"/>
                          <a:stretch>
                            <a:fillRect/>
                          </a:stretch>
                        </pic:blipFill>
                        <pic:spPr>
                          <a:xfrm>
                            <a:off x="0" y="0"/>
                            <a:ext cx="2762255" cy="3473536"/>
                          </a:xfrm>
                          <a:prstGeom prst="rect">
                            <a:avLst/>
                          </a:prstGeom>
                        </pic:spPr>
                      </pic:pic>
                    </a:graphicData>
                  </a:graphic>
                </wp:inline>
              </w:drawing>
            </w:r>
          </w:p>
        </w:tc>
        <w:tc>
          <w:tcPr>
            <w:tcW w:w="4500" w:type="dxa"/>
            <w:gridSpan w:val="2"/>
            <w:tcBorders>
              <w:bottom w:val="nil"/>
            </w:tcBorders>
            <w:vAlign w:val="top"/>
          </w:tcPr>
          <w:p>
            <w:pPr>
              <w:spacing w:before="45" w:line="5485" w:lineRule="exact"/>
              <w:ind w:firstLine="45"/>
            </w:pPr>
            <w:r>
              <w:rPr>
                <w:position w:val="-109"/>
              </w:rPr>
              <w:drawing>
                <wp:inline distT="0" distB="0" distL="0" distR="0">
                  <wp:extent cx="2774950" cy="3482340"/>
                  <wp:effectExtent l="0" t="0" r="6350" b="3810"/>
                  <wp:docPr id="83" name="IM 4"/>
                  <wp:cNvGraphicFramePr/>
                  <a:graphic xmlns:a="http://schemas.openxmlformats.org/drawingml/2006/main">
                    <a:graphicData uri="http://schemas.openxmlformats.org/drawingml/2006/picture">
                      <pic:pic xmlns:pic="http://schemas.openxmlformats.org/drawingml/2006/picture">
                        <pic:nvPicPr>
                          <pic:cNvPr id="83" name="IM 4"/>
                          <pic:cNvPicPr/>
                        </pic:nvPicPr>
                        <pic:blipFill>
                          <a:blip r:embed="rId12"/>
                          <a:stretch>
                            <a:fillRect/>
                          </a:stretch>
                        </pic:blipFill>
                        <pic:spPr>
                          <a:xfrm>
                            <a:off x="0" y="0"/>
                            <a:ext cx="2774961" cy="348296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3" w:type="dxa"/>
          <w:trHeight w:val="440" w:hRule="atLeast"/>
          <w:jc w:val="center"/>
        </w:trPr>
        <w:tc>
          <w:tcPr>
            <w:tcW w:w="4480" w:type="dxa"/>
            <w:tcBorders>
              <w:top w:val="nil"/>
            </w:tcBorders>
            <w:vAlign w:val="top"/>
          </w:tcPr>
          <w:p>
            <w:pPr>
              <w:spacing w:before="165" w:line="181" w:lineRule="auto"/>
              <w:ind w:left="1965"/>
              <w:rPr>
                <w:rFonts w:ascii="宋体" w:hAnsi="宋体" w:eastAsia="宋体" w:cs="宋体"/>
                <w:sz w:val="27"/>
                <w:szCs w:val="27"/>
              </w:rPr>
            </w:pPr>
            <w:r>
              <w:rPr>
                <w:rFonts w:ascii="宋体" w:hAnsi="宋体" w:eastAsia="宋体" w:cs="宋体"/>
                <w:spacing w:val="9"/>
                <w:sz w:val="27"/>
                <w:szCs w:val="27"/>
              </w:rPr>
              <w:t>东侧</w:t>
            </w:r>
          </w:p>
        </w:tc>
        <w:tc>
          <w:tcPr>
            <w:tcW w:w="4500" w:type="dxa"/>
            <w:gridSpan w:val="2"/>
            <w:tcBorders>
              <w:top w:val="nil"/>
            </w:tcBorders>
            <w:vAlign w:val="top"/>
          </w:tcPr>
          <w:p>
            <w:pPr>
              <w:spacing w:before="165" w:line="181" w:lineRule="auto"/>
              <w:ind w:left="1975"/>
              <w:rPr>
                <w:rFonts w:ascii="宋体" w:hAnsi="宋体" w:eastAsia="宋体" w:cs="宋体"/>
                <w:sz w:val="27"/>
                <w:szCs w:val="27"/>
              </w:rPr>
            </w:pPr>
            <w:r>
              <w:rPr>
                <w:rFonts w:ascii="宋体" w:hAnsi="宋体" w:eastAsia="宋体" w:cs="宋体"/>
                <w:spacing w:val="9"/>
                <w:sz w:val="27"/>
                <w:szCs w:val="27"/>
              </w:rPr>
              <w:t>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3" w:type="dxa"/>
          <w:trHeight w:val="5506" w:hRule="atLeast"/>
          <w:jc w:val="center"/>
        </w:trPr>
        <w:tc>
          <w:tcPr>
            <w:tcW w:w="4480" w:type="dxa"/>
            <w:tcBorders>
              <w:bottom w:val="nil"/>
            </w:tcBorders>
            <w:vAlign w:val="top"/>
          </w:tcPr>
          <w:p>
            <w:pPr>
              <w:spacing w:before="65" w:line="5430" w:lineRule="exact"/>
              <w:ind w:firstLine="55"/>
            </w:pPr>
            <w:r>
              <w:rPr>
                <w:position w:val="-108"/>
              </w:rPr>
              <w:drawing>
                <wp:inline distT="0" distB="0" distL="0" distR="0">
                  <wp:extent cx="2755900" cy="3448050"/>
                  <wp:effectExtent l="0" t="0" r="6350" b="0"/>
                  <wp:docPr id="84" name="IM 6"/>
                  <wp:cNvGraphicFramePr/>
                  <a:graphic xmlns:a="http://schemas.openxmlformats.org/drawingml/2006/main">
                    <a:graphicData uri="http://schemas.openxmlformats.org/drawingml/2006/picture">
                      <pic:pic xmlns:pic="http://schemas.openxmlformats.org/drawingml/2006/picture">
                        <pic:nvPicPr>
                          <pic:cNvPr id="84" name="IM 6"/>
                          <pic:cNvPicPr/>
                        </pic:nvPicPr>
                        <pic:blipFill>
                          <a:blip r:embed="rId13"/>
                          <a:stretch>
                            <a:fillRect/>
                          </a:stretch>
                        </pic:blipFill>
                        <pic:spPr>
                          <a:xfrm>
                            <a:off x="0" y="0"/>
                            <a:ext cx="2755902" cy="3448658"/>
                          </a:xfrm>
                          <a:prstGeom prst="rect">
                            <a:avLst/>
                          </a:prstGeom>
                        </pic:spPr>
                      </pic:pic>
                    </a:graphicData>
                  </a:graphic>
                </wp:inline>
              </w:drawing>
            </w:r>
          </w:p>
        </w:tc>
        <w:tc>
          <w:tcPr>
            <w:tcW w:w="4500" w:type="dxa"/>
            <w:gridSpan w:val="2"/>
            <w:tcBorders>
              <w:bottom w:val="nil"/>
            </w:tcBorders>
            <w:vAlign w:val="top"/>
          </w:tcPr>
          <w:p>
            <w:pPr>
              <w:spacing w:before="65" w:line="5430" w:lineRule="exact"/>
              <w:ind w:firstLine="65"/>
            </w:pPr>
            <w:r>
              <w:rPr>
                <w:position w:val="-108"/>
              </w:rPr>
              <w:drawing>
                <wp:inline distT="0" distB="0" distL="0" distR="0">
                  <wp:extent cx="2774315" cy="3448050"/>
                  <wp:effectExtent l="0" t="0" r="6985" b="0"/>
                  <wp:docPr id="85" name="IM 8"/>
                  <wp:cNvGraphicFramePr/>
                  <a:graphic xmlns:a="http://schemas.openxmlformats.org/drawingml/2006/main">
                    <a:graphicData uri="http://schemas.openxmlformats.org/drawingml/2006/picture">
                      <pic:pic xmlns:pic="http://schemas.openxmlformats.org/drawingml/2006/picture">
                        <pic:nvPicPr>
                          <pic:cNvPr id="85" name="IM 8"/>
                          <pic:cNvPicPr/>
                        </pic:nvPicPr>
                        <pic:blipFill>
                          <a:blip r:embed="rId14"/>
                          <a:stretch>
                            <a:fillRect/>
                          </a:stretch>
                        </pic:blipFill>
                        <pic:spPr>
                          <a:xfrm>
                            <a:off x="0" y="0"/>
                            <a:ext cx="2774884" cy="344865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3" w:type="dxa"/>
          <w:trHeight w:val="450" w:hRule="atLeast"/>
          <w:jc w:val="center"/>
        </w:trPr>
        <w:tc>
          <w:tcPr>
            <w:tcW w:w="4480" w:type="dxa"/>
            <w:tcBorders>
              <w:top w:val="nil"/>
            </w:tcBorders>
            <w:vAlign w:val="top"/>
          </w:tcPr>
          <w:p>
            <w:pPr>
              <w:spacing w:before="179" w:line="178" w:lineRule="auto"/>
              <w:ind w:left="1965"/>
              <w:rPr>
                <w:rFonts w:ascii="宋体" w:hAnsi="宋体" w:eastAsia="宋体" w:cs="宋体"/>
                <w:sz w:val="27"/>
                <w:szCs w:val="27"/>
              </w:rPr>
            </w:pPr>
            <w:r>
              <w:rPr>
                <w:rFonts w:ascii="宋体" w:hAnsi="宋体" w:eastAsia="宋体" w:cs="宋体"/>
                <w:spacing w:val="9"/>
                <w:sz w:val="27"/>
                <w:szCs w:val="27"/>
              </w:rPr>
              <w:t>西侧</w:t>
            </w:r>
          </w:p>
        </w:tc>
        <w:tc>
          <w:tcPr>
            <w:tcW w:w="4500" w:type="dxa"/>
            <w:gridSpan w:val="2"/>
            <w:tcBorders>
              <w:top w:val="nil"/>
            </w:tcBorders>
            <w:vAlign w:val="top"/>
          </w:tcPr>
          <w:p>
            <w:pPr>
              <w:spacing w:before="179" w:line="178" w:lineRule="auto"/>
              <w:ind w:left="1975"/>
              <w:rPr>
                <w:rFonts w:ascii="宋体" w:hAnsi="宋体" w:eastAsia="宋体" w:cs="宋体"/>
                <w:sz w:val="27"/>
                <w:szCs w:val="27"/>
              </w:rPr>
            </w:pPr>
            <w:r>
              <w:rPr>
                <w:rFonts w:ascii="宋体" w:hAnsi="宋体" w:eastAsia="宋体" w:cs="宋体"/>
                <w:spacing w:val="9"/>
                <w:sz w:val="27"/>
                <w:szCs w:val="27"/>
              </w:rPr>
              <w:t>北侧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333" w:type="dxa"/>
          <w:trHeight w:val="654" w:hRule="atLeast"/>
          <w:jc w:val="center"/>
        </w:trPr>
        <w:tc>
          <w:tcPr>
            <w:tcW w:w="8980" w:type="dxa"/>
            <w:gridSpan w:val="3"/>
            <w:vAlign w:val="top"/>
          </w:tcPr>
          <w:p>
            <w:pPr>
              <w:spacing w:before="197" w:line="220" w:lineRule="auto"/>
              <w:ind w:left="3808"/>
              <w:rPr>
                <w:rFonts w:ascii="宋体" w:hAnsi="宋体" w:eastAsia="宋体" w:cs="宋体"/>
                <w:sz w:val="27"/>
                <w:szCs w:val="27"/>
              </w:rPr>
            </w:pPr>
            <w:r>
              <w:rPr>
                <w:rFonts w:ascii="宋体" w:hAnsi="宋体" w:eastAsia="宋体" w:cs="宋体"/>
                <w:b/>
                <w:bCs/>
                <w:spacing w:val="1"/>
                <w:sz w:val="27"/>
                <w:szCs w:val="27"/>
              </w:rPr>
              <w:t>项目区四周</w:t>
            </w:r>
          </w:p>
        </w:tc>
      </w:tr>
    </w:tbl>
    <w:p>
      <w:pPr>
        <w:pStyle w:val="19"/>
        <w:adjustRightInd w:val="0"/>
        <w:snapToGrid w:val="0"/>
        <w:spacing w:before="0" w:beforeAutospacing="0" w:after="0" w:afterAutospacing="0"/>
        <w:jc w:val="both"/>
        <w:outlineLvl w:val="0"/>
        <w:rPr>
          <w:rFonts w:ascii="Times New Roman" w:hAnsi="Times New Roman" w:eastAsia="黑体"/>
          <w:snapToGrid w:val="0"/>
          <w:kern w:val="21"/>
          <w:sz w:val="30"/>
          <w:szCs w:val="30"/>
        </w:rPr>
      </w:pPr>
    </w:p>
    <w:p>
      <w:pPr>
        <w:pStyle w:val="19"/>
        <w:adjustRightInd w:val="0"/>
        <w:snapToGrid w:val="0"/>
        <w:spacing w:before="0" w:beforeAutospacing="0" w:after="0" w:afterAutospacing="0"/>
        <w:jc w:val="both"/>
        <w:outlineLvl w:val="0"/>
        <w:rPr>
          <w:rFonts w:ascii="Times New Roman" w:hAnsi="Times New Roman" w:eastAsia="黑体"/>
          <w:snapToGrid w:val="0"/>
          <w:kern w:val="21"/>
          <w:sz w:val="30"/>
          <w:szCs w:val="30"/>
        </w:rPr>
      </w:pPr>
    </w:p>
    <w:p>
      <w:pPr>
        <w:pStyle w:val="19"/>
        <w:adjustRightInd w:val="0"/>
        <w:snapToGrid w:val="0"/>
        <w:spacing w:before="0" w:beforeAutospacing="0" w:after="0" w:afterAutospacing="0"/>
        <w:jc w:val="center"/>
        <w:outlineLvl w:val="0"/>
        <w:rPr>
          <w:rFonts w:ascii="Times New Roman" w:hAnsi="Times New Roman" w:eastAsia="黑体"/>
          <w:snapToGrid w:val="0"/>
          <w:kern w:val="21"/>
          <w:sz w:val="30"/>
          <w:szCs w:val="30"/>
        </w:rPr>
      </w:pPr>
      <w:r>
        <w:rPr>
          <w:rFonts w:ascii="Times New Roman" w:hAnsi="Times New Roman" w:eastAsia="黑体"/>
          <w:snapToGrid w:val="0"/>
          <w:kern w:val="21"/>
          <w:sz w:val="30"/>
          <w:szCs w:val="30"/>
        </w:rPr>
        <w:t>一、建设项目基本情况</w:t>
      </w:r>
    </w:p>
    <w:tbl>
      <w:tblPr>
        <w:tblStyle w:val="23"/>
        <w:tblW w:w="87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5"/>
        <w:gridCol w:w="2431"/>
        <w:gridCol w:w="1892"/>
        <w:gridCol w:w="28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建设项目名称</w:t>
            </w:r>
          </w:p>
        </w:tc>
        <w:tc>
          <w:tcPr>
            <w:tcW w:w="7124" w:type="dxa"/>
            <w:gridSpan w:val="3"/>
            <w:vAlign w:val="center"/>
          </w:tcPr>
          <w:p>
            <w:pPr>
              <w:adjustRightInd w:val="0"/>
              <w:snapToGrid w:val="0"/>
              <w:jc w:val="center"/>
              <w:rPr>
                <w:rFonts w:eastAsiaTheme="minorEastAsia"/>
                <w:kern w:val="21"/>
              </w:rPr>
            </w:pPr>
            <w:r>
              <w:rPr>
                <w:rFonts w:eastAsiaTheme="minorEastAsia"/>
              </w:rPr>
              <w:t>喀什国际航空货运区建设项目（非民航工程一期）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项目代码</w:t>
            </w:r>
          </w:p>
        </w:tc>
        <w:tc>
          <w:tcPr>
            <w:tcW w:w="7124" w:type="dxa"/>
            <w:gridSpan w:val="3"/>
            <w:vAlign w:val="center"/>
          </w:tcPr>
          <w:p>
            <w:pPr>
              <w:adjustRightInd w:val="0"/>
              <w:snapToGrid w:val="0"/>
              <w:jc w:val="center"/>
              <w:rPr>
                <w:kern w:val="21"/>
              </w:rPr>
            </w:pPr>
            <w:r>
              <w:rPr>
                <w:kern w:val="21"/>
              </w:rPr>
              <w:t>2103-653102-04-01-717644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建设单位联系人</w:t>
            </w:r>
          </w:p>
        </w:tc>
        <w:tc>
          <w:tcPr>
            <w:tcW w:w="2431" w:type="dxa"/>
            <w:vAlign w:val="center"/>
          </w:tcPr>
          <w:p>
            <w:pPr>
              <w:adjustRightInd w:val="0"/>
              <w:snapToGrid w:val="0"/>
              <w:jc w:val="center"/>
              <w:rPr>
                <w:kern w:val="21"/>
              </w:rPr>
            </w:pPr>
            <w:r>
              <w:t>马木提·艾力木</w:t>
            </w:r>
          </w:p>
        </w:tc>
        <w:tc>
          <w:tcPr>
            <w:tcW w:w="1892" w:type="dxa"/>
            <w:vAlign w:val="center"/>
          </w:tcPr>
          <w:p>
            <w:pPr>
              <w:adjustRightInd w:val="0"/>
              <w:snapToGrid w:val="0"/>
              <w:jc w:val="center"/>
              <w:rPr>
                <w:kern w:val="21"/>
              </w:rPr>
            </w:pPr>
            <w:r>
              <w:rPr>
                <w:kern w:val="21"/>
              </w:rPr>
              <w:t>联系方式</w:t>
            </w:r>
          </w:p>
        </w:tc>
        <w:tc>
          <w:tcPr>
            <w:tcW w:w="2801" w:type="dxa"/>
            <w:vAlign w:val="center"/>
          </w:tcPr>
          <w:p>
            <w:pPr>
              <w:adjustRightInd w:val="0"/>
              <w:snapToGrid w:val="0"/>
              <w:jc w:val="center"/>
              <w:rPr>
                <w:kern w:val="21"/>
              </w:rPr>
            </w:pPr>
            <w:r>
              <w:rPr>
                <w:kern w:val="21"/>
              </w:rPr>
              <w:t>15684874865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建设地点</w:t>
            </w:r>
          </w:p>
        </w:tc>
        <w:tc>
          <w:tcPr>
            <w:tcW w:w="7124" w:type="dxa"/>
            <w:gridSpan w:val="3"/>
            <w:vAlign w:val="center"/>
          </w:tcPr>
          <w:p>
            <w:pPr>
              <w:jc w:val="center"/>
              <w:rPr>
                <w:kern w:val="21"/>
              </w:rPr>
            </w:pPr>
            <w:r>
              <w:rPr>
                <w:rFonts w:eastAsiaTheme="minorEastAsia"/>
              </w:rPr>
              <w:t>新疆维吾尔自治区喀什经济开发区内的综合保税区内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地理坐标</w:t>
            </w:r>
          </w:p>
        </w:tc>
        <w:tc>
          <w:tcPr>
            <w:tcW w:w="7124" w:type="dxa"/>
            <w:gridSpan w:val="3"/>
            <w:vAlign w:val="center"/>
          </w:tcPr>
          <w:p>
            <w:pPr>
              <w:adjustRightInd w:val="0"/>
              <w:snapToGrid w:val="0"/>
              <w:jc w:val="center"/>
              <w:rPr>
                <w:kern w:val="21"/>
              </w:rPr>
            </w:pPr>
            <w:r>
              <w:rPr>
                <w:kern w:val="21"/>
              </w:rPr>
              <w:t>航空货运区建设项目：地理坐标76°01′58.922″E，39°33′4.4727″N</w:t>
            </w:r>
            <w:r>
              <w:rPr>
                <w:rFonts w:eastAsiaTheme="minorEastAsia"/>
              </w:rPr>
              <w:t>，燃气管道建设项目：</w:t>
            </w:r>
            <w:r>
              <w:rPr>
                <w:kern w:val="21"/>
              </w:rPr>
              <w:t>工程起点76°01′52.16″E，39°33′26.36″N；工程终点76°03′04.00″E，39°32′36.40″N</w:t>
            </w:r>
            <w:r>
              <w:rPr>
                <w:rFonts w:eastAsiaTheme="minorEastAsia"/>
              </w:rPr>
              <w:t>。</w:t>
            </w:r>
            <w:r>
              <w:rPr>
                <w:rFonts w:hint="eastAsia" w:eastAsiaTheme="minorEastAsia"/>
              </w:rPr>
              <w:t>附图 1 项目地理位置图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建设项目</w:t>
            </w:r>
          </w:p>
          <w:p>
            <w:pPr>
              <w:adjustRightInd w:val="0"/>
              <w:snapToGrid w:val="0"/>
              <w:jc w:val="center"/>
              <w:rPr>
                <w:kern w:val="21"/>
              </w:rPr>
            </w:pPr>
            <w:r>
              <w:rPr>
                <w:kern w:val="21"/>
              </w:rPr>
              <w:t>行业类别</w:t>
            </w:r>
          </w:p>
        </w:tc>
        <w:tc>
          <w:tcPr>
            <w:tcW w:w="2431" w:type="dxa"/>
            <w:vAlign w:val="center"/>
          </w:tcPr>
          <w:p>
            <w:pPr>
              <w:widowControl/>
              <w:jc w:val="left"/>
              <w:rPr>
                <w:rFonts w:eastAsiaTheme="minorEastAsia"/>
              </w:rPr>
            </w:pPr>
            <w:r>
              <w:rPr>
                <w:rFonts w:eastAsiaTheme="minorEastAsia"/>
              </w:rPr>
              <w:t>五十二、交通运输业、管道运输业—139 干散货（含煤炭、矿石）、件杂、多用途、通</w:t>
            </w:r>
          </w:p>
          <w:p>
            <w:pPr>
              <w:widowControl/>
              <w:jc w:val="left"/>
              <w:rPr>
                <w:kern w:val="21"/>
              </w:rPr>
            </w:pPr>
            <w:r>
              <w:rPr>
                <w:rFonts w:eastAsiaTheme="minorEastAsia"/>
              </w:rPr>
              <w:t>用码头；147、原油、成品油、天然气管线（不含城市天然气管线；—不含城镇燃气管线；—不含企业厂区内管道）</w:t>
            </w:r>
          </w:p>
        </w:tc>
        <w:tc>
          <w:tcPr>
            <w:tcW w:w="1892" w:type="dxa"/>
            <w:vAlign w:val="center"/>
          </w:tcPr>
          <w:p>
            <w:pPr>
              <w:adjustRightInd w:val="0"/>
              <w:snapToGrid w:val="0"/>
              <w:jc w:val="center"/>
              <w:rPr>
                <w:kern w:val="21"/>
              </w:rPr>
            </w:pPr>
            <w:r>
              <w:rPr>
                <w:szCs w:val="21"/>
              </w:rPr>
              <w:t>用地（用海）面积（m</w:t>
            </w:r>
            <w:r>
              <w:rPr>
                <w:szCs w:val="21"/>
                <w:vertAlign w:val="superscript"/>
              </w:rPr>
              <w:t>2</w:t>
            </w:r>
            <w:r>
              <w:rPr>
                <w:szCs w:val="21"/>
              </w:rPr>
              <w:t>）/长度（km）</w:t>
            </w:r>
          </w:p>
        </w:tc>
        <w:tc>
          <w:tcPr>
            <w:tcW w:w="2801" w:type="dxa"/>
            <w:vAlign w:val="center"/>
          </w:tcPr>
          <w:p>
            <w:pPr>
              <w:widowControl/>
              <w:jc w:val="center"/>
              <w:rPr>
                <w:kern w:val="21"/>
              </w:rPr>
            </w:pPr>
            <w:r>
              <w:rPr>
                <w:kern w:val="21"/>
              </w:rPr>
              <w:t>航空货运区建设项目</w:t>
            </w:r>
            <w:r>
              <w:rPr>
                <w:spacing w:val="-3"/>
              </w:rPr>
              <w:t>用地面积144872.79m</w:t>
            </w:r>
            <w:r>
              <w:rPr>
                <w:spacing w:val="-3"/>
                <w:vertAlign w:val="superscript"/>
              </w:rPr>
              <w:t>2</w:t>
            </w:r>
            <w:r>
              <w:rPr>
                <w:spacing w:val="-3"/>
              </w:rPr>
              <w:t>，燃气管道建设项目无永久占地，临时占地面积</w:t>
            </w:r>
            <w:r>
              <w:rPr>
                <w:lang w:bidi="ar"/>
              </w:rPr>
              <w:t>23698m</w:t>
            </w:r>
            <w:r>
              <w:rPr>
                <w:vertAlign w:val="superscript"/>
                <w:lang w:bidi="ar"/>
              </w:rPr>
              <w:t>2</w:t>
            </w:r>
            <w:r>
              <w:rPr>
                <w:spacing w:val="-3"/>
              </w:rPr>
              <w:t>/长度</w:t>
            </w:r>
            <w:r>
              <w:rPr>
                <w:kern w:val="21"/>
              </w:rPr>
              <w:t>2.99km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建设性质</w:t>
            </w:r>
          </w:p>
        </w:tc>
        <w:tc>
          <w:tcPr>
            <w:tcW w:w="2431" w:type="dxa"/>
            <w:vAlign w:val="center"/>
          </w:tcPr>
          <w:p>
            <w:pPr>
              <w:adjustRightInd w:val="0"/>
              <w:snapToGrid w:val="0"/>
              <w:jc w:val="left"/>
              <w:rPr>
                <w:kern w:val="21"/>
              </w:rPr>
            </w:pPr>
            <w:r>
              <w:rPr>
                <w:kern w:val="21"/>
              </w:rPr>
              <w:t>☑新建（迁建）</w:t>
            </w:r>
          </w:p>
          <w:p>
            <w:pPr>
              <w:adjustRightInd w:val="0"/>
              <w:snapToGrid w:val="0"/>
              <w:jc w:val="left"/>
              <w:rPr>
                <w:kern w:val="21"/>
              </w:rPr>
            </w:pPr>
            <w:r>
              <w:rPr>
                <w:kern w:val="21"/>
              </w:rPr>
              <w:t>□改建</w:t>
            </w:r>
          </w:p>
          <w:p>
            <w:pPr>
              <w:adjustRightInd w:val="0"/>
              <w:snapToGrid w:val="0"/>
              <w:jc w:val="left"/>
              <w:rPr>
                <w:kern w:val="21"/>
              </w:rPr>
            </w:pPr>
            <w:r>
              <w:rPr>
                <w:kern w:val="21"/>
              </w:rPr>
              <w:t>□扩建</w:t>
            </w:r>
          </w:p>
          <w:p>
            <w:pPr>
              <w:adjustRightInd w:val="0"/>
              <w:snapToGrid w:val="0"/>
              <w:jc w:val="left"/>
              <w:rPr>
                <w:kern w:val="21"/>
              </w:rPr>
            </w:pPr>
            <w:r>
              <w:rPr>
                <w:kern w:val="21"/>
              </w:rPr>
              <w:t>□技术改造</w:t>
            </w:r>
          </w:p>
        </w:tc>
        <w:tc>
          <w:tcPr>
            <w:tcW w:w="1892" w:type="dxa"/>
            <w:vAlign w:val="center"/>
          </w:tcPr>
          <w:p>
            <w:pPr>
              <w:adjustRightInd w:val="0"/>
              <w:snapToGrid w:val="0"/>
              <w:jc w:val="center"/>
              <w:rPr>
                <w:kern w:val="21"/>
              </w:rPr>
            </w:pPr>
            <w:r>
              <w:rPr>
                <w:kern w:val="21"/>
              </w:rPr>
              <w:t>建设项目申报情形</w:t>
            </w:r>
          </w:p>
        </w:tc>
        <w:tc>
          <w:tcPr>
            <w:tcW w:w="2801" w:type="dxa"/>
            <w:vAlign w:val="center"/>
          </w:tcPr>
          <w:p>
            <w:pPr>
              <w:adjustRightInd w:val="0"/>
              <w:snapToGrid w:val="0"/>
              <w:jc w:val="left"/>
              <w:rPr>
                <w:kern w:val="21"/>
              </w:rPr>
            </w:pPr>
            <w:r>
              <w:rPr>
                <w:kern w:val="21"/>
              </w:rPr>
              <w:t>☑首次申报项目</w:t>
            </w:r>
          </w:p>
          <w:p>
            <w:pPr>
              <w:adjustRightInd w:val="0"/>
              <w:snapToGrid w:val="0"/>
              <w:jc w:val="left"/>
              <w:rPr>
                <w:kern w:val="21"/>
              </w:rPr>
            </w:pPr>
            <w:r>
              <w:rPr>
                <w:kern w:val="21"/>
              </w:rPr>
              <w:t>□不予批准后再次申报项目</w:t>
            </w:r>
          </w:p>
          <w:p>
            <w:pPr>
              <w:adjustRightInd w:val="0"/>
              <w:snapToGrid w:val="0"/>
              <w:jc w:val="left"/>
              <w:rPr>
                <w:kern w:val="21"/>
              </w:rPr>
            </w:pPr>
            <w:r>
              <w:rPr>
                <w:kern w:val="21"/>
              </w:rPr>
              <w:t>□超五年重新审核项目</w:t>
            </w:r>
          </w:p>
          <w:p>
            <w:pPr>
              <w:adjustRightInd w:val="0"/>
              <w:snapToGrid w:val="0"/>
              <w:jc w:val="left"/>
              <w:rPr>
                <w:kern w:val="21"/>
              </w:rPr>
            </w:pPr>
            <w:r>
              <w:rPr>
                <w:kern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项目审批（核准/备案）部门</w:t>
            </w:r>
          </w:p>
        </w:tc>
        <w:tc>
          <w:tcPr>
            <w:tcW w:w="2431" w:type="dxa"/>
            <w:vAlign w:val="center"/>
          </w:tcPr>
          <w:p>
            <w:pPr>
              <w:adjustRightInd w:val="0"/>
              <w:snapToGrid w:val="0"/>
              <w:jc w:val="center"/>
              <w:rPr>
                <w:kern w:val="21"/>
              </w:rPr>
            </w:pPr>
            <w:r>
              <w:rPr>
                <w:kern w:val="21"/>
              </w:rPr>
              <w:t>喀什经济开发区发展改 革和经济促进局</w:t>
            </w:r>
          </w:p>
        </w:tc>
        <w:tc>
          <w:tcPr>
            <w:tcW w:w="1892" w:type="dxa"/>
            <w:vAlign w:val="center"/>
          </w:tcPr>
          <w:p>
            <w:pPr>
              <w:adjustRightInd w:val="0"/>
              <w:snapToGrid w:val="0"/>
              <w:jc w:val="center"/>
              <w:rPr>
                <w:kern w:val="21"/>
              </w:rPr>
            </w:pPr>
            <w:r>
              <w:rPr>
                <w:kern w:val="21"/>
              </w:rPr>
              <w:t>项目审批（核准/</w:t>
            </w:r>
          </w:p>
          <w:p>
            <w:pPr>
              <w:adjustRightInd w:val="0"/>
              <w:snapToGrid w:val="0"/>
              <w:jc w:val="center"/>
              <w:rPr>
                <w:kern w:val="21"/>
              </w:rPr>
            </w:pPr>
            <w:r>
              <w:rPr>
                <w:kern w:val="21"/>
              </w:rPr>
              <w:t>备案）文号</w:t>
            </w:r>
          </w:p>
        </w:tc>
        <w:tc>
          <w:tcPr>
            <w:tcW w:w="2801" w:type="dxa"/>
            <w:vAlign w:val="center"/>
          </w:tcPr>
          <w:p>
            <w:pPr>
              <w:adjustRightInd w:val="0"/>
              <w:snapToGrid w:val="0"/>
              <w:jc w:val="center"/>
              <w:rPr>
                <w:kern w:val="21"/>
              </w:rPr>
            </w:pPr>
            <w:r>
              <w:rPr>
                <w:kern w:val="21"/>
              </w:rPr>
              <w:t>喀经开发促[2021]11号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总投资（万元）</w:t>
            </w:r>
          </w:p>
        </w:tc>
        <w:tc>
          <w:tcPr>
            <w:tcW w:w="2431" w:type="dxa"/>
            <w:vAlign w:val="center"/>
          </w:tcPr>
          <w:p>
            <w:pPr>
              <w:adjustRightInd w:val="0"/>
              <w:snapToGrid w:val="0"/>
              <w:jc w:val="center"/>
              <w:rPr>
                <w:kern w:val="21"/>
              </w:rPr>
            </w:pPr>
            <w:r>
              <w:rPr>
                <w:kern w:val="21"/>
              </w:rPr>
              <w:t>6064.51万元</w:t>
            </w:r>
          </w:p>
        </w:tc>
        <w:tc>
          <w:tcPr>
            <w:tcW w:w="1892" w:type="dxa"/>
            <w:tcMar>
              <w:top w:w="16" w:type="dxa"/>
              <w:left w:w="16" w:type="dxa"/>
              <w:right w:w="16" w:type="dxa"/>
            </w:tcMar>
            <w:vAlign w:val="center"/>
          </w:tcPr>
          <w:p>
            <w:pPr>
              <w:adjustRightInd w:val="0"/>
              <w:snapToGrid w:val="0"/>
              <w:jc w:val="center"/>
              <w:rPr>
                <w:kern w:val="21"/>
                <w:highlight w:val="red"/>
              </w:rPr>
            </w:pPr>
            <w:r>
              <w:rPr>
                <w:kern w:val="21"/>
              </w:rPr>
              <w:t>环保投资（万元）</w:t>
            </w:r>
          </w:p>
        </w:tc>
        <w:tc>
          <w:tcPr>
            <w:tcW w:w="2801" w:type="dxa"/>
            <w:vAlign w:val="center"/>
          </w:tcPr>
          <w:p>
            <w:pPr>
              <w:adjustRightInd w:val="0"/>
              <w:snapToGrid w:val="0"/>
              <w:jc w:val="center"/>
              <w:rPr>
                <w:kern w:val="21"/>
              </w:rPr>
            </w:pPr>
            <w:r>
              <w:rPr>
                <w:kern w:val="21"/>
              </w:rPr>
              <w:t>167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highlight w:val="red"/>
              </w:rPr>
            </w:pPr>
            <w:r>
              <w:rPr>
                <w:kern w:val="21"/>
              </w:rPr>
              <w:t>环保投资占比（%）</w:t>
            </w:r>
          </w:p>
        </w:tc>
        <w:tc>
          <w:tcPr>
            <w:tcW w:w="2431" w:type="dxa"/>
            <w:vAlign w:val="center"/>
          </w:tcPr>
          <w:p>
            <w:pPr>
              <w:adjustRightInd w:val="0"/>
              <w:snapToGrid w:val="0"/>
              <w:jc w:val="center"/>
              <w:rPr>
                <w:kern w:val="21"/>
                <w:highlight w:val="red"/>
              </w:rPr>
            </w:pPr>
            <w:r>
              <w:rPr>
                <w:kern w:val="21"/>
              </w:rPr>
              <w:t>2.75%</w:t>
            </w:r>
          </w:p>
        </w:tc>
        <w:tc>
          <w:tcPr>
            <w:tcW w:w="1892" w:type="dxa"/>
            <w:tcMar>
              <w:top w:w="16" w:type="dxa"/>
              <w:left w:w="16" w:type="dxa"/>
              <w:right w:w="16" w:type="dxa"/>
            </w:tcMar>
            <w:vAlign w:val="center"/>
          </w:tcPr>
          <w:p>
            <w:pPr>
              <w:adjustRightInd w:val="0"/>
              <w:snapToGrid w:val="0"/>
              <w:jc w:val="center"/>
              <w:rPr>
                <w:kern w:val="21"/>
                <w:highlight w:val="red"/>
              </w:rPr>
            </w:pPr>
            <w:r>
              <w:rPr>
                <w:kern w:val="21"/>
              </w:rPr>
              <w:t>施工工期</w:t>
            </w:r>
          </w:p>
        </w:tc>
        <w:tc>
          <w:tcPr>
            <w:tcW w:w="2801" w:type="dxa"/>
            <w:vAlign w:val="center"/>
          </w:tcPr>
          <w:p>
            <w:pPr>
              <w:adjustRightInd w:val="0"/>
              <w:snapToGrid w:val="0"/>
              <w:jc w:val="center"/>
              <w:rPr>
                <w:kern w:val="21"/>
              </w:rPr>
            </w:pPr>
            <w:r>
              <w:rPr>
                <w:kern w:val="21"/>
              </w:rPr>
              <w:t>7个月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665" w:type="dxa"/>
            <w:tcMar>
              <w:top w:w="16" w:type="dxa"/>
              <w:left w:w="16" w:type="dxa"/>
              <w:right w:w="16" w:type="dxa"/>
            </w:tcMar>
            <w:vAlign w:val="center"/>
          </w:tcPr>
          <w:p>
            <w:pPr>
              <w:adjustRightInd w:val="0"/>
              <w:snapToGrid w:val="0"/>
              <w:jc w:val="center"/>
              <w:rPr>
                <w:kern w:val="21"/>
              </w:rPr>
            </w:pPr>
            <w:r>
              <w:rPr>
                <w:kern w:val="21"/>
              </w:rPr>
              <w:t>是否开工建设</w:t>
            </w:r>
          </w:p>
        </w:tc>
        <w:tc>
          <w:tcPr>
            <w:tcW w:w="7124" w:type="dxa"/>
            <w:gridSpan w:val="3"/>
            <w:vAlign w:val="center"/>
          </w:tcPr>
          <w:p>
            <w:pPr>
              <w:adjustRightInd w:val="0"/>
              <w:snapToGrid w:val="0"/>
            </w:pPr>
            <w:r>
              <w:t>☑否</w:t>
            </w:r>
          </w:p>
          <w:p>
            <w:pPr>
              <w:adjustRightInd w:val="0"/>
              <w:snapToGrid w:val="0"/>
              <w:rPr>
                <w:kern w:val="21"/>
              </w:rPr>
            </w:pPr>
            <w:r>
              <w:t>□是：</w:t>
            </w:r>
            <w:r>
              <w:rPr>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5" w:type="dxa"/>
            <w:vAlign w:val="center"/>
          </w:tcPr>
          <w:p>
            <w:pPr>
              <w:autoSpaceDE w:val="0"/>
              <w:autoSpaceDN w:val="0"/>
              <w:adjustRightInd w:val="0"/>
              <w:snapToGrid w:val="0"/>
              <w:jc w:val="center"/>
              <w:rPr>
                <w:kern w:val="21"/>
              </w:rPr>
            </w:pPr>
            <w:r>
              <w:rPr>
                <w:kern w:val="21"/>
              </w:rPr>
              <w:t>专项评价设置情况</w:t>
            </w:r>
          </w:p>
        </w:tc>
        <w:tc>
          <w:tcPr>
            <w:tcW w:w="7124" w:type="dxa"/>
            <w:gridSpan w:val="3"/>
            <w:vAlign w:val="center"/>
          </w:tcPr>
          <w:p>
            <w:pPr>
              <w:autoSpaceDE w:val="0"/>
              <w:autoSpaceDN w:val="0"/>
              <w:spacing w:before="120" w:beforeLines="50" w:line="360" w:lineRule="auto"/>
            </w:pPr>
            <w:r>
              <w:rPr>
                <w:kern w:val="0"/>
              </w:rPr>
              <w:t>根据《建设项目环境影响报告表编制技术指南（生态类）》表1专项评价设置原则表中“石油、天然气、页岩气、成品油管线（不含城市天然气管线）”项目需设置</w:t>
            </w:r>
            <w:r>
              <w:rPr>
                <w:rFonts w:hint="eastAsia"/>
                <w:color w:val="0000FF"/>
                <w:kern w:val="0"/>
                <w:lang w:val="en-US" w:eastAsia="zh-CN"/>
              </w:rPr>
              <w:t>环境</w:t>
            </w:r>
            <w:r>
              <w:rPr>
                <w:color w:val="0000FF"/>
                <w:kern w:val="0"/>
              </w:rPr>
              <w:t>风险</w:t>
            </w:r>
            <w:r>
              <w:rPr>
                <w:kern w:val="0"/>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5" w:type="dxa"/>
            <w:vAlign w:val="center"/>
          </w:tcPr>
          <w:p>
            <w:pPr>
              <w:autoSpaceDE w:val="0"/>
              <w:autoSpaceDN w:val="0"/>
              <w:adjustRightInd w:val="0"/>
              <w:snapToGrid w:val="0"/>
              <w:jc w:val="center"/>
              <w:rPr>
                <w:kern w:val="21"/>
                <w:highlight w:val="red"/>
              </w:rPr>
            </w:pPr>
            <w:r>
              <w:rPr>
                <w:kern w:val="21"/>
              </w:rPr>
              <w:t>规划情况</w:t>
            </w:r>
          </w:p>
        </w:tc>
        <w:tc>
          <w:tcPr>
            <w:tcW w:w="7124" w:type="dxa"/>
            <w:gridSpan w:val="3"/>
            <w:vAlign w:val="center"/>
          </w:tcPr>
          <w:p>
            <w:pPr>
              <w:widowControl/>
              <w:spacing w:before="120" w:beforeLines="50" w:line="360" w:lineRule="auto"/>
              <w:jc w:val="left"/>
              <w:rPr>
                <w:bCs/>
                <w:kern w:val="44"/>
              </w:rPr>
            </w:pPr>
            <w:r>
              <w:rPr>
                <w:bCs/>
                <w:kern w:val="44"/>
              </w:rPr>
              <w:t>规划文件名称：《喀什经济开发区总体规划》(2011-2020)</w:t>
            </w:r>
          </w:p>
          <w:p>
            <w:pPr>
              <w:widowControl/>
              <w:spacing w:line="360" w:lineRule="auto"/>
              <w:jc w:val="left"/>
              <w:rPr>
                <w:bCs/>
                <w:kern w:val="44"/>
              </w:rPr>
            </w:pPr>
            <w:r>
              <w:rPr>
                <w:bCs/>
                <w:kern w:val="44"/>
              </w:rPr>
              <w:t>审查机关：新疆维吾尔自治区住房和城乡建设厅</w:t>
            </w:r>
          </w:p>
          <w:p>
            <w:pPr>
              <w:autoSpaceDE w:val="0"/>
              <w:autoSpaceDN w:val="0"/>
              <w:spacing w:line="360" w:lineRule="auto"/>
              <w:rPr>
                <w:bCs/>
                <w:kern w:val="44"/>
              </w:rPr>
            </w:pPr>
            <w:r>
              <w:rPr>
                <w:bCs/>
                <w:kern w:val="44"/>
              </w:rPr>
              <w:t>审查文件名称及文号：关于对《喀什经济开发区总体规划方案》的审查意见，（新建规函[2012]51号）</w:t>
            </w:r>
          </w:p>
          <w:p>
            <w:pPr>
              <w:widowControl/>
              <w:spacing w:line="360" w:lineRule="auto"/>
              <w:jc w:val="left"/>
              <w:rPr>
                <w:bCs/>
                <w:kern w:val="44"/>
              </w:rPr>
            </w:pPr>
            <w:r>
              <w:rPr>
                <w:bCs/>
                <w:kern w:val="44"/>
              </w:rPr>
              <w:t>规划文件名称：《喀什市城市总体规划》(2010-2030)</w:t>
            </w:r>
          </w:p>
          <w:p>
            <w:pPr>
              <w:widowControl/>
              <w:spacing w:line="360" w:lineRule="auto"/>
              <w:jc w:val="left"/>
              <w:rPr>
                <w:bCs/>
                <w:kern w:val="44"/>
              </w:rPr>
            </w:pPr>
            <w:r>
              <w:rPr>
                <w:bCs/>
                <w:kern w:val="44"/>
              </w:rPr>
              <w:t>审查机关：新疆维吾尔自治区人民政府</w:t>
            </w:r>
          </w:p>
          <w:p>
            <w:pPr>
              <w:autoSpaceDE w:val="0"/>
              <w:autoSpaceDN w:val="0"/>
              <w:spacing w:line="360" w:lineRule="auto"/>
            </w:pPr>
            <w:r>
              <w:rPr>
                <w:bCs/>
                <w:kern w:val="44"/>
              </w:rPr>
              <w:t>审查文件名称及文号：关于喀什市城市总体规划的批复，（新政函[2012]124号）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5" w:type="dxa"/>
            <w:vAlign w:val="center"/>
          </w:tcPr>
          <w:p>
            <w:pPr>
              <w:adjustRightInd w:val="0"/>
              <w:snapToGrid w:val="0"/>
              <w:jc w:val="center"/>
              <w:rPr>
                <w:kern w:val="21"/>
              </w:rPr>
            </w:pPr>
            <w:r>
              <w:rPr>
                <w:kern w:val="21"/>
              </w:rPr>
              <w:t>规划环境影响</w:t>
            </w:r>
          </w:p>
          <w:p>
            <w:pPr>
              <w:adjustRightInd w:val="0"/>
              <w:snapToGrid w:val="0"/>
              <w:jc w:val="center"/>
              <w:rPr>
                <w:kern w:val="21"/>
                <w:highlight w:val="red"/>
              </w:rPr>
            </w:pPr>
            <w:r>
              <w:rPr>
                <w:kern w:val="21"/>
              </w:rPr>
              <w:t>评价情况</w:t>
            </w:r>
          </w:p>
        </w:tc>
        <w:tc>
          <w:tcPr>
            <w:tcW w:w="7124" w:type="dxa"/>
            <w:gridSpan w:val="3"/>
            <w:vAlign w:val="center"/>
          </w:tcPr>
          <w:p>
            <w:pPr>
              <w:widowControl/>
              <w:spacing w:before="120" w:beforeLines="50" w:line="360" w:lineRule="auto"/>
              <w:jc w:val="left"/>
              <w:rPr>
                <w:lang w:bidi="ar"/>
              </w:rPr>
            </w:pPr>
            <w:r>
              <w:rPr>
                <w:lang w:bidi="ar"/>
              </w:rPr>
              <w:t>规划环境影响评价文件名称：《喀什经济开发区总体规划(2011-2020)环境影响报告书》</w:t>
            </w:r>
          </w:p>
          <w:p>
            <w:pPr>
              <w:widowControl/>
              <w:spacing w:line="360" w:lineRule="auto"/>
              <w:jc w:val="left"/>
              <w:rPr>
                <w:lang w:bidi="ar"/>
              </w:rPr>
            </w:pPr>
            <w:r>
              <w:rPr>
                <w:lang w:bidi="ar"/>
              </w:rPr>
              <w:t>审查机关：新疆维吾尔自治区环境保护厅</w:t>
            </w:r>
          </w:p>
          <w:p>
            <w:pPr>
              <w:widowControl/>
              <w:spacing w:line="360" w:lineRule="auto"/>
              <w:jc w:val="left"/>
              <w:rPr>
                <w:kern w:val="21"/>
              </w:rPr>
            </w:pPr>
            <w:r>
              <w:rPr>
                <w:lang w:bidi="ar"/>
              </w:rPr>
              <w:t>审查文件名称及文号：关于《喀什经济开发区总体规划(2011-2020)环境影响报告书》的审查意见，（新政函【2014】605号）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5" w:type="dxa"/>
            <w:vAlign w:val="center"/>
          </w:tcPr>
          <w:p>
            <w:pPr>
              <w:autoSpaceDE w:val="0"/>
              <w:autoSpaceDN w:val="0"/>
              <w:adjustRightInd w:val="0"/>
              <w:snapToGrid w:val="0"/>
              <w:jc w:val="center"/>
              <w:rPr>
                <w:kern w:val="21"/>
                <w:highlight w:val="red"/>
              </w:rPr>
            </w:pPr>
            <w:r>
              <w:rPr>
                <w:kern w:val="21"/>
              </w:rPr>
              <w:t>规划及规划环境影响评价符合性分析</w:t>
            </w:r>
          </w:p>
        </w:tc>
        <w:tc>
          <w:tcPr>
            <w:tcW w:w="7124" w:type="dxa"/>
            <w:gridSpan w:val="3"/>
            <w:vAlign w:val="center"/>
          </w:tcPr>
          <w:p>
            <w:pPr>
              <w:widowControl/>
              <w:spacing w:before="120" w:beforeLines="50" w:line="360" w:lineRule="auto"/>
              <w:ind w:firstLine="480" w:firstLineChars="200"/>
              <w:jc w:val="left"/>
            </w:pPr>
            <w:r>
              <w:rPr>
                <w:lang w:bidi="ar"/>
              </w:rPr>
              <w:t>根据《喀什经济开发区总体规划(2011-2020)环境影响报告书》，用地类型包括居住、公共设施、工业、道路、绿地、交通、市场用地和发展备用地等，</w:t>
            </w:r>
            <w:r>
              <w:rPr>
                <w:lang w:val="zh-CN" w:bidi="ar"/>
              </w:rPr>
              <w:t>本项目位于</w:t>
            </w:r>
            <w:r>
              <w:rPr>
                <w:lang w:bidi="ar"/>
              </w:rPr>
              <w:t>喀什经济开发区内的综合保税区，详见附图1，</w:t>
            </w:r>
            <w:r>
              <w:rPr>
                <w:lang w:val="zh-CN" w:bidi="ar"/>
              </w:rPr>
              <w:t>根据</w:t>
            </w:r>
            <w:r>
              <w:rPr>
                <w:lang w:bidi="ar"/>
              </w:rPr>
              <w:t>《喀什经济开发区总体规划(2011-2020)环境影响报告书》和</w:t>
            </w:r>
            <w:r>
              <w:rPr>
                <w:bCs/>
                <w:kern w:val="44"/>
              </w:rPr>
              <w:t>《喀什市城市总体规划》(2010-2030)的规划图</w:t>
            </w:r>
            <w:r>
              <w:rPr>
                <w:lang w:val="zh-CN" w:bidi="ar"/>
              </w:rPr>
              <w:t>，本项目</w:t>
            </w:r>
            <w:r>
              <w:rPr>
                <w:lang w:bidi="ar"/>
              </w:rPr>
              <w:t>主要经过</w:t>
            </w:r>
            <w:r>
              <w:rPr>
                <w:lang w:val="zh-CN" w:bidi="ar"/>
              </w:rPr>
              <w:t>该规划的</w:t>
            </w:r>
            <w:r>
              <w:rPr>
                <w:lang w:bidi="ar"/>
              </w:rPr>
              <w:t>生态绿地</w:t>
            </w:r>
            <w:r>
              <w:rPr>
                <w:lang w:val="zh-CN" w:bidi="ar"/>
              </w:rPr>
              <w:t>；</w:t>
            </w:r>
            <w:r>
              <w:rPr>
                <w:spacing w:val="-2"/>
                <w:kern w:val="0"/>
                <w:lang w:bidi="ar"/>
              </w:rPr>
              <w:t>根据国土三调的土地利用图，项目区土地利用类型主要为戈壁和平原旱地。</w:t>
            </w:r>
            <w:r>
              <w:rPr>
                <w:lang w:bidi="ar"/>
              </w:rPr>
              <w:t>本项目航空货运区建设项目属于航空货运区，</w:t>
            </w:r>
            <w:r>
              <w:rPr>
                <w:rFonts w:eastAsiaTheme="minorEastAsia"/>
              </w:rPr>
              <w:t>燃气管道建设项目</w:t>
            </w:r>
            <w:r>
              <w:rPr>
                <w:lang w:bidi="ar"/>
              </w:rPr>
              <w:t>主要管线为临时占地，施工结束后进行施工场地的恢复，项目不属于开发区15个主体园区范围内，为综合保税区配套设施，</w:t>
            </w:r>
            <w:r>
              <w:rPr>
                <w:lang w:val="zh-CN" w:bidi="ar"/>
              </w:rPr>
              <w:t>故符合</w:t>
            </w:r>
            <w:r>
              <w:rPr>
                <w:lang w:bidi="ar"/>
              </w:rPr>
              <w:t>喀什经济开发区总体规划</w:t>
            </w:r>
            <w:r>
              <w:rPr>
                <w:lang w:val="zh-CN" w:bidi="ar"/>
              </w:rPr>
              <w:t>，详见附图</w:t>
            </w:r>
            <w:r>
              <w:rPr>
                <w:rFonts w:hint="eastAsia"/>
                <w:lang w:val="en-US" w:eastAsia="zh-CN" w:bidi="ar"/>
              </w:rPr>
              <w:t>1-1、1-2</w:t>
            </w:r>
            <w:r>
              <w:rPr>
                <w:lang w:bidi="ar"/>
              </w:rPr>
              <w:t>、附图</w:t>
            </w:r>
            <w:r>
              <w:rPr>
                <w:rFonts w:hint="eastAsia"/>
                <w:lang w:val="en-US" w:eastAsia="zh-CN" w:bidi="ar"/>
              </w:rPr>
              <w:t>2</w:t>
            </w:r>
            <w:r>
              <w:rPr>
                <w:lang w:bidi="ar"/>
              </w:rPr>
              <w:t>、附图</w:t>
            </w:r>
            <w:r>
              <w:rPr>
                <w:rFonts w:hint="eastAsia"/>
                <w:lang w:val="en-US" w:eastAsia="zh-CN" w:bidi="ar"/>
              </w:rPr>
              <w:t>3-1、3-2</w:t>
            </w:r>
            <w:r>
              <w:rPr>
                <w:lang w:val="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83" w:hRule="atLeast"/>
          <w:jc w:val="center"/>
        </w:trPr>
        <w:tc>
          <w:tcPr>
            <w:tcW w:w="1665" w:type="dxa"/>
            <w:vAlign w:val="center"/>
          </w:tcPr>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r>
              <w:rPr>
                <w:kern w:val="21"/>
              </w:rPr>
              <w:t>其他符合性分析</w:t>
            </w: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p>
            <w:pPr>
              <w:autoSpaceDE w:val="0"/>
              <w:autoSpaceDN w:val="0"/>
              <w:adjustRightInd w:val="0"/>
              <w:snapToGrid w:val="0"/>
              <w:jc w:val="center"/>
              <w:rPr>
                <w:kern w:val="21"/>
              </w:rPr>
            </w:pPr>
          </w:p>
        </w:tc>
        <w:tc>
          <w:tcPr>
            <w:tcW w:w="7124" w:type="dxa"/>
            <w:gridSpan w:val="3"/>
            <w:vAlign w:val="center"/>
          </w:tcPr>
          <w:p>
            <w:pPr>
              <w:adjustRightInd w:val="0"/>
              <w:spacing w:before="120" w:beforeLines="50" w:line="360" w:lineRule="auto"/>
              <w:rPr>
                <w:b/>
                <w:bCs/>
                <w:lang w:bidi="ar"/>
              </w:rPr>
            </w:pPr>
            <w:r>
              <w:rPr>
                <w:b/>
                <w:bCs/>
                <w:lang w:bidi="ar"/>
              </w:rPr>
              <w:t>1产业政策符合性分析</w:t>
            </w:r>
          </w:p>
          <w:p>
            <w:pPr>
              <w:adjustRightInd w:val="0"/>
              <w:snapToGrid w:val="0"/>
              <w:spacing w:line="360" w:lineRule="auto"/>
              <w:ind w:firstLine="480" w:firstLineChars="200"/>
              <w:rPr>
                <w:rFonts w:eastAsiaTheme="minorEastAsia"/>
              </w:rPr>
            </w:pPr>
            <w:r>
              <w:rPr>
                <w:rFonts w:eastAsiaTheme="minorEastAsia"/>
              </w:rPr>
              <w:t>根</w:t>
            </w:r>
            <w:r>
              <w:rPr>
                <w:lang w:bidi="ar"/>
              </w:rPr>
              <w:t>据《产业结构调整指导目录》(2024年)，</w:t>
            </w:r>
            <w:r>
              <w:rPr>
                <w:kern w:val="21"/>
              </w:rPr>
              <w:t>航空货运区建设项目属于鼓励类“二十九、现代物流业 2．农产品物流配送设施建设，农产品、食品、药品冷链物流，食品、药品物流质量安全控制技术服务”，</w:t>
            </w:r>
            <w:r>
              <w:rPr>
                <w:rFonts w:eastAsiaTheme="minorEastAsia"/>
              </w:rPr>
              <w:t>燃气管道建设</w:t>
            </w:r>
            <w:r>
              <w:rPr>
                <w:rFonts w:hint="eastAsia" w:eastAsiaTheme="minorEastAsia"/>
                <w:lang w:eastAsia="zh-CN"/>
              </w:rPr>
              <w:t>项目</w:t>
            </w:r>
            <w:r>
              <w:rPr>
                <w:lang w:bidi="ar"/>
              </w:rPr>
              <w:t>属于鼓励类“七、石油天然气 2、油气管网建设：原油、</w:t>
            </w:r>
            <w:r>
              <w:rPr>
                <w:shd w:val="clear" w:color="auto" w:fill="D7D7D7" w:themeFill="background1" w:themeFillShade="D8"/>
                <w:lang w:bidi="ar"/>
              </w:rPr>
              <w:t>天然气</w:t>
            </w:r>
            <w:r>
              <w:rPr>
                <w:lang w:bidi="ar"/>
              </w:rPr>
              <w:t>、液化天然气、成品油的储存和</w:t>
            </w:r>
            <w:r>
              <w:rPr>
                <w:shd w:val="clear" w:color="auto" w:fill="D7D7D7" w:themeFill="background1" w:themeFillShade="D8"/>
                <w:lang w:bidi="ar"/>
              </w:rPr>
              <w:t>管道输送设施</w:t>
            </w:r>
            <w:r>
              <w:rPr>
                <w:lang w:bidi="ar"/>
              </w:rPr>
              <w:t>、网络和液化天然气加注设施建设、技术装备开发与应用”</w:t>
            </w:r>
            <w:r>
              <w:rPr>
                <w:rFonts w:eastAsiaTheme="minorEastAsia"/>
              </w:rPr>
              <w:t>，因此本项目符合国家的产业政策。</w:t>
            </w:r>
          </w:p>
          <w:p>
            <w:pPr>
              <w:adjustRightInd w:val="0"/>
              <w:snapToGrid w:val="0"/>
              <w:spacing w:line="360" w:lineRule="auto"/>
              <w:ind w:firstLine="480" w:firstLineChars="200"/>
              <w:rPr>
                <w:rFonts w:eastAsiaTheme="minorEastAsia"/>
              </w:rPr>
            </w:pPr>
            <w:r>
              <w:rPr>
                <w:rFonts w:eastAsiaTheme="minorEastAsia"/>
              </w:rPr>
              <w:t>本项目于2021年3月6日取得喀什经济开发区发展改革和经济促进局出具的《关于喀什国际航空货运区建设项目(非民航工程一期)可行性研究报告的批复》（</w:t>
            </w:r>
            <w:r>
              <w:rPr>
                <w:kern w:val="21"/>
              </w:rPr>
              <w:t>喀经开发促[2021]11号</w:t>
            </w:r>
            <w:r>
              <w:rPr>
                <w:rFonts w:eastAsiaTheme="minorEastAsia"/>
              </w:rPr>
              <w:t>），同意项目实施，因此项目建设符合地方产业政策。</w:t>
            </w:r>
          </w:p>
          <w:p>
            <w:pPr>
              <w:adjustRightInd w:val="0"/>
              <w:snapToGrid w:val="0"/>
              <w:spacing w:line="360" w:lineRule="auto"/>
              <w:ind w:firstLine="480" w:firstLineChars="200"/>
            </w:pPr>
            <w:r>
              <w:rPr>
                <w:rFonts w:eastAsiaTheme="minorEastAsia"/>
              </w:rPr>
              <w:t>综上所述，本项目符合国家及地方产业政策。</w:t>
            </w:r>
          </w:p>
          <w:p>
            <w:pPr>
              <w:adjustRightInd w:val="0"/>
              <w:snapToGrid w:val="0"/>
              <w:spacing w:line="360" w:lineRule="auto"/>
              <w:rPr>
                <w:b/>
                <w:bCs/>
                <w:lang w:bidi="ar"/>
              </w:rPr>
            </w:pPr>
            <w:r>
              <w:rPr>
                <w:b/>
                <w:bCs/>
                <w:lang w:bidi="ar"/>
              </w:rPr>
              <w:t>2项目建设</w:t>
            </w:r>
            <w:r>
              <w:rPr>
                <w:b/>
                <w:bCs/>
                <w:color w:val="0000FF"/>
                <w:lang w:bidi="ar"/>
              </w:rPr>
              <w:t>选址</w:t>
            </w:r>
            <w:r>
              <w:rPr>
                <w:rFonts w:hint="eastAsia"/>
                <w:b/>
                <w:bCs/>
                <w:color w:val="0000FF"/>
                <w:lang w:eastAsia="zh-CN" w:bidi="ar"/>
              </w:rPr>
              <w:t>、</w:t>
            </w:r>
            <w:r>
              <w:rPr>
                <w:rFonts w:hint="eastAsia"/>
                <w:b/>
                <w:bCs/>
                <w:color w:val="0000FF"/>
                <w:lang w:val="en-US" w:eastAsia="zh-CN" w:bidi="ar"/>
              </w:rPr>
              <w:t>选线</w:t>
            </w:r>
            <w:r>
              <w:rPr>
                <w:b/>
                <w:bCs/>
                <w:color w:val="0000FF"/>
                <w:lang w:bidi="ar"/>
              </w:rPr>
              <w:t>合</w:t>
            </w:r>
            <w:r>
              <w:rPr>
                <w:b/>
                <w:bCs/>
                <w:lang w:bidi="ar"/>
              </w:rPr>
              <w:t>理性分析</w:t>
            </w:r>
          </w:p>
          <w:p>
            <w:pPr>
              <w:adjustRightInd w:val="0"/>
              <w:snapToGrid w:val="0"/>
              <w:spacing w:line="360" w:lineRule="auto"/>
              <w:ind w:firstLine="480" w:firstLineChars="200"/>
              <w:rPr>
                <w:lang w:bidi="ar"/>
              </w:rPr>
            </w:pPr>
            <w:r>
              <w:rPr>
                <w:lang w:bidi="ar"/>
              </w:rPr>
              <w:t>（1）</w:t>
            </w:r>
            <w:r>
              <w:rPr>
                <w:kern w:val="21"/>
              </w:rPr>
              <w:t>航空货运区建设项目</w:t>
            </w:r>
            <w:r>
              <w:rPr>
                <w:spacing w:val="-3"/>
              </w:rPr>
              <w:t>选址合理性分析</w:t>
            </w:r>
          </w:p>
          <w:p>
            <w:pPr>
              <w:adjustRightInd w:val="0"/>
              <w:snapToGrid w:val="0"/>
              <w:spacing w:line="360" w:lineRule="auto"/>
              <w:ind w:firstLine="480" w:firstLineChars="200"/>
              <w:rPr>
                <w:lang w:bidi="ar"/>
              </w:rPr>
            </w:pPr>
            <w:r>
              <w:rPr>
                <w:kern w:val="21"/>
              </w:rPr>
              <w:t>航空货运区建设项目</w:t>
            </w:r>
            <w:r>
              <w:rPr>
                <w:lang w:bidi="ar"/>
              </w:rPr>
              <w:t>位于喀什经济开发区综合保税区内，本为仓储物流行业，根据《喀什经济开发区总体规划（2011-2020）》用地规划，本项目位于普通仓库用地，符合开发区的用地规划，详见附图2。同时，根据开发区的产业规划，本项目位于综合保税区，综合保税区位于喀什国际机场北部东侧，恰克马克河以南区域，规划面积 3.56 平方公里，计划投资总额 29 亿元，主要规划了保税仓储、保税物流、展览展示、增值加工、监管服务和口岸操     作等六个功能，具有保税区、出口加工区及保税物流园区等各项功能的叠加优势，是集国际转、配送、采购、转口贸易和出口加工等业务于一体，本项目位于综合保税区，符合开发区的仓储物流行业产业规划</w:t>
            </w:r>
            <w:r>
              <w:rPr>
                <w:rFonts w:hint="eastAsia"/>
                <w:lang w:eastAsia="zh-CN" w:bidi="ar"/>
              </w:rPr>
              <w:t>，</w:t>
            </w:r>
            <w:r>
              <w:rPr>
                <w:lang w:bidi="ar"/>
              </w:rPr>
              <w:t>详见附图</w:t>
            </w:r>
            <w:r>
              <w:rPr>
                <w:rFonts w:hint="eastAsia"/>
                <w:lang w:val="en-US" w:eastAsia="zh-CN" w:bidi="ar"/>
              </w:rPr>
              <w:t>3-2</w:t>
            </w:r>
            <w:r>
              <w:rPr>
                <w:lang w:bidi="ar"/>
              </w:rPr>
              <w:t>。</w:t>
            </w:r>
          </w:p>
          <w:p>
            <w:pPr>
              <w:adjustRightInd w:val="0"/>
              <w:snapToGrid w:val="0"/>
              <w:spacing w:line="360" w:lineRule="auto"/>
              <w:ind w:firstLine="480" w:firstLineChars="200"/>
              <w:rPr>
                <w:lang w:bidi="ar"/>
              </w:rPr>
            </w:pPr>
            <w:r>
              <w:rPr>
                <w:lang w:bidi="ar"/>
              </w:rPr>
              <w:t>（2）</w:t>
            </w:r>
            <w:r>
              <w:rPr>
                <w:spacing w:val="-3"/>
              </w:rPr>
              <w:t>燃气管道建设项目选址合理性分析</w:t>
            </w:r>
          </w:p>
          <w:p>
            <w:pPr>
              <w:adjustRightInd w:val="0"/>
              <w:snapToGrid w:val="0"/>
              <w:spacing w:line="360" w:lineRule="auto"/>
              <w:ind w:firstLine="480" w:firstLineChars="200"/>
              <w:rPr>
                <w:lang w:bidi="ar"/>
              </w:rPr>
            </w:pPr>
            <w:r>
              <w:rPr>
                <w:lang w:bidi="ar"/>
              </w:rPr>
              <w:t>本工程为天然气管道工程，属于民生工程，工程任务为本段线路起自于经济开发区环园路已建输气管线，沿着环园路北侧自西向东敷设至桩号K1+860处由北向南敷设；敷设至夏木帕夏村已建输气管线交接，该段管线途经区域现状为公路、绿化带</w:t>
            </w:r>
            <w:r>
              <w:rPr>
                <w:rFonts w:hint="eastAsia"/>
                <w:lang w:eastAsia="zh-CN" w:bidi="ar"/>
              </w:rPr>
              <w:t>，</w:t>
            </w:r>
            <w:r>
              <w:rPr>
                <w:lang w:bidi="ar"/>
              </w:rPr>
              <w:t>详见附图</w:t>
            </w:r>
            <w:r>
              <w:rPr>
                <w:rFonts w:hint="eastAsia"/>
                <w:lang w:val="en-US" w:eastAsia="zh-CN" w:bidi="ar"/>
              </w:rPr>
              <w:t>3-1</w:t>
            </w:r>
            <w:r>
              <w:rPr>
                <w:lang w:bidi="ar"/>
              </w:rPr>
              <w:t>。</w:t>
            </w:r>
          </w:p>
          <w:p>
            <w:pPr>
              <w:adjustRightInd w:val="0"/>
              <w:snapToGrid w:val="0"/>
              <w:spacing w:line="360" w:lineRule="auto"/>
              <w:ind w:firstLine="480" w:firstLineChars="200"/>
              <w:rPr>
                <w:lang w:bidi="ar"/>
              </w:rPr>
            </w:pPr>
            <w:r>
              <w:rPr>
                <w:lang w:bidi="ar"/>
              </w:rPr>
              <w:t>本工程施工期较短，施工过程中主要污染物为施工扬尘、污水和施工垃圾等，对环境影响较小，随着施工期的结束而终止。运营期不产生污染，因此本工程的实施不会降低区域环境质量现状。综上所述，本工程建设合理。</w:t>
            </w:r>
          </w:p>
          <w:p>
            <w:pPr>
              <w:adjustRightInd w:val="0"/>
              <w:snapToGrid w:val="0"/>
              <w:spacing w:line="360" w:lineRule="auto"/>
              <w:rPr>
                <w:b/>
                <w:bCs/>
                <w:lang w:bidi="ar"/>
              </w:rPr>
            </w:pPr>
            <w:r>
              <w:rPr>
                <w:b/>
                <w:bCs/>
                <w:lang w:bidi="ar"/>
              </w:rPr>
              <w:t>3“三线一单”符合性分析</w:t>
            </w:r>
          </w:p>
          <w:p>
            <w:pPr>
              <w:autoSpaceDE w:val="0"/>
              <w:adjustRightInd w:val="0"/>
              <w:snapToGrid w:val="0"/>
              <w:spacing w:line="360" w:lineRule="auto"/>
              <w:rPr>
                <w:b/>
                <w:bCs/>
                <w:lang w:bidi="ar"/>
              </w:rPr>
            </w:pPr>
            <w:r>
              <w:rPr>
                <w:b/>
                <w:bCs/>
                <w:lang w:bidi="ar"/>
              </w:rPr>
              <w:t>3.1与自治区“三线一单”符合性分析</w:t>
            </w:r>
          </w:p>
          <w:p>
            <w:pPr>
              <w:autoSpaceDE w:val="0"/>
              <w:adjustRightInd w:val="0"/>
              <w:snapToGrid w:val="0"/>
              <w:spacing w:line="360" w:lineRule="auto"/>
              <w:ind w:firstLine="480" w:firstLineChars="200"/>
              <w:rPr>
                <w:lang w:bidi="ar"/>
              </w:rPr>
            </w:pPr>
            <w:r>
              <w:rPr>
                <w:lang w:bidi="ar"/>
              </w:rPr>
              <w:t>为贯彻落实《中共中央国务院关于全面加强生态环境保护坚决打好污染防治攻坚战的意见》和《自治区党委自治区人民政府关于全面加强生态环境保护坚决打好污染防治攻坚战实施方案》,按照生态环境部统一部署,自治区组织编制了“生态保护红线、环境质量底线、资源利用上线和生态环境准入清单”(以下简称“三线一单”),现就实施“三线一单”生态环境分区管控。</w:t>
            </w:r>
          </w:p>
          <w:p>
            <w:pPr>
              <w:autoSpaceDE w:val="0"/>
              <w:adjustRightInd w:val="0"/>
              <w:snapToGrid w:val="0"/>
              <w:spacing w:line="360" w:lineRule="auto"/>
              <w:ind w:firstLine="480" w:firstLineChars="200"/>
              <w:rPr>
                <w:lang w:bidi="ar"/>
              </w:rPr>
            </w:pPr>
            <w:r>
              <w:rPr>
                <w:lang w:bidi="ar"/>
              </w:rPr>
              <w:t>根据《新疆维吾尔自治区七大片区“三线一单”生态环境分区管控要求》，项目符合性分析见表1-1。</w:t>
            </w:r>
          </w:p>
          <w:p>
            <w:pPr>
              <w:widowControl/>
              <w:autoSpaceDE w:val="0"/>
              <w:adjustRightInd w:val="0"/>
              <w:ind w:firstLine="422" w:firstLineChars="200"/>
              <w:jc w:val="center"/>
              <w:rPr>
                <w:b/>
                <w:bCs/>
                <w:kern w:val="0"/>
                <w:sz w:val="21"/>
                <w:szCs w:val="21"/>
                <w:lang w:bidi="ar"/>
              </w:rPr>
            </w:pPr>
            <w:r>
              <w:rPr>
                <w:b/>
                <w:bCs/>
                <w:kern w:val="0"/>
                <w:sz w:val="21"/>
                <w:szCs w:val="21"/>
                <w:lang w:bidi="ar"/>
              </w:rPr>
              <w:t>表1-1    项目与自治区“三线一单”符合性分析一览表</w:t>
            </w:r>
          </w:p>
          <w:tbl>
            <w:tblPr>
              <w:tblStyle w:val="23"/>
              <w:tblW w:w="6538"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0" w:type="dxa"/>
                <w:bottom w:w="0" w:type="dxa"/>
                <w:right w:w="0" w:type="dxa"/>
              </w:tblCellMar>
            </w:tblPr>
            <w:tblGrid>
              <w:gridCol w:w="3046"/>
              <w:gridCol w:w="2715"/>
              <w:gridCol w:w="777"/>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426" w:hRule="atLeast"/>
                <w:jc w:val="center"/>
              </w:trPr>
              <w:tc>
                <w:tcPr>
                  <w:tcW w:w="3046" w:type="dxa"/>
                  <w:tcBorders>
                    <w:top w:val="single" w:color="auto" w:sz="12" w:space="0"/>
                    <w:left w:val="nil"/>
                    <w:bottom w:val="single" w:color="auto" w:sz="4" w:space="0"/>
                    <w:right w:val="single" w:color="auto" w:sz="4" w:space="0"/>
                  </w:tcBorders>
                  <w:vAlign w:val="center"/>
                </w:tcPr>
                <w:p>
                  <w:pPr>
                    <w:overflowPunct w:val="0"/>
                    <w:autoSpaceDE w:val="0"/>
                    <w:jc w:val="center"/>
                    <w:rPr>
                      <w:sz w:val="21"/>
                      <w:szCs w:val="21"/>
                    </w:rPr>
                  </w:pPr>
                  <w:r>
                    <w:rPr>
                      <w:sz w:val="21"/>
                      <w:szCs w:val="21"/>
                      <w:lang w:bidi="ar"/>
                    </w:rPr>
                    <w:t>“三线一单”要求</w:t>
                  </w:r>
                </w:p>
              </w:tc>
              <w:tc>
                <w:tcPr>
                  <w:tcW w:w="2715" w:type="dxa"/>
                  <w:tcBorders>
                    <w:top w:val="single" w:color="auto" w:sz="12" w:space="0"/>
                    <w:left w:val="nil"/>
                    <w:bottom w:val="single" w:color="auto" w:sz="4" w:space="0"/>
                    <w:right w:val="single" w:color="auto" w:sz="4" w:space="0"/>
                  </w:tcBorders>
                  <w:vAlign w:val="center"/>
                </w:tcPr>
                <w:p>
                  <w:pPr>
                    <w:overflowPunct w:val="0"/>
                    <w:autoSpaceDE w:val="0"/>
                    <w:jc w:val="center"/>
                    <w:rPr>
                      <w:sz w:val="21"/>
                      <w:szCs w:val="21"/>
                    </w:rPr>
                  </w:pPr>
                  <w:r>
                    <w:rPr>
                      <w:sz w:val="21"/>
                      <w:szCs w:val="21"/>
                      <w:lang w:bidi="ar"/>
                    </w:rPr>
                    <w:t>情况分析</w:t>
                  </w:r>
                </w:p>
              </w:tc>
              <w:tc>
                <w:tcPr>
                  <w:tcW w:w="777" w:type="dxa"/>
                  <w:tcBorders>
                    <w:top w:val="single" w:color="auto" w:sz="12" w:space="0"/>
                    <w:left w:val="nil"/>
                    <w:bottom w:val="single" w:color="auto" w:sz="4" w:space="0"/>
                    <w:right w:val="nil"/>
                  </w:tcBorders>
                  <w:vAlign w:val="center"/>
                </w:tcPr>
                <w:p>
                  <w:pPr>
                    <w:overflowPunct w:val="0"/>
                    <w:autoSpaceDE w:val="0"/>
                    <w:jc w:val="center"/>
                    <w:rPr>
                      <w:sz w:val="21"/>
                      <w:szCs w:val="21"/>
                    </w:rPr>
                  </w:pPr>
                  <w:r>
                    <w:rPr>
                      <w:sz w:val="21"/>
                      <w:szCs w:val="21"/>
                      <w:lang w:bidi="ar"/>
                    </w:rPr>
                    <w:t>符合性</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712" w:hRule="atLeast"/>
                <w:jc w:val="center"/>
              </w:trPr>
              <w:tc>
                <w:tcPr>
                  <w:tcW w:w="3046" w:type="dxa"/>
                  <w:tcBorders>
                    <w:top w:val="single" w:color="auto" w:sz="4" w:space="0"/>
                    <w:left w:val="nil"/>
                    <w:bottom w:val="single" w:color="auto" w:sz="4" w:space="0"/>
                    <w:right w:val="single" w:color="auto" w:sz="4" w:space="0"/>
                  </w:tcBorders>
                  <w:vAlign w:val="center"/>
                </w:tcPr>
                <w:p>
                  <w:pPr>
                    <w:overflowPunct w:val="0"/>
                    <w:autoSpaceDE w:val="0"/>
                    <w:rPr>
                      <w:sz w:val="21"/>
                      <w:szCs w:val="21"/>
                    </w:rPr>
                  </w:pPr>
                  <w:r>
                    <w:rPr>
                      <w:sz w:val="21"/>
                      <w:szCs w:val="21"/>
                      <w:lang w:bidi="ar"/>
                    </w:rPr>
                    <w:t>生态保护红线：按照“生态功能不降低、面积不减少、性质不改变”的基本要求，对划定的生态保护红线实施严格管控，保障和维护国家生态安全的底线和生命线。</w:t>
                  </w:r>
                </w:p>
              </w:tc>
              <w:tc>
                <w:tcPr>
                  <w:tcW w:w="2715" w:type="dxa"/>
                  <w:tcBorders>
                    <w:top w:val="single" w:color="auto" w:sz="4" w:space="0"/>
                    <w:left w:val="nil"/>
                    <w:bottom w:val="single" w:color="auto" w:sz="4" w:space="0"/>
                    <w:right w:val="single" w:color="auto" w:sz="4" w:space="0"/>
                  </w:tcBorders>
                  <w:vAlign w:val="center"/>
                </w:tcPr>
                <w:p>
                  <w:pPr>
                    <w:rPr>
                      <w:sz w:val="21"/>
                      <w:szCs w:val="21"/>
                    </w:rPr>
                  </w:pPr>
                  <w:r>
                    <w:rPr>
                      <w:bCs/>
                      <w:sz w:val="21"/>
                      <w:szCs w:val="21"/>
                      <w:lang w:bidi="ar"/>
                    </w:rPr>
                    <w:t>本工程位于</w:t>
                  </w:r>
                  <w:r>
                    <w:rPr>
                      <w:sz w:val="21"/>
                      <w:szCs w:val="21"/>
                    </w:rPr>
                    <w:t>喀什</w:t>
                  </w:r>
                  <w:r>
                    <w:rPr>
                      <w:rFonts w:hint="eastAsia"/>
                      <w:sz w:val="21"/>
                      <w:szCs w:val="21"/>
                      <w:lang w:eastAsia="zh-CN"/>
                    </w:rPr>
                    <w:t>市</w:t>
                  </w:r>
                  <w:r>
                    <w:rPr>
                      <w:sz w:val="21"/>
                      <w:szCs w:val="21"/>
                    </w:rPr>
                    <w:t>经济开发区内的综合保税区</w:t>
                  </w:r>
                  <w:r>
                    <w:rPr>
                      <w:bCs/>
                      <w:sz w:val="21"/>
                      <w:szCs w:val="21"/>
                      <w:lang w:bidi="ar"/>
                    </w:rPr>
                    <w:t>，周边无自然保护区，饮用水源地保护区等生态保护目标。</w:t>
                  </w:r>
                </w:p>
              </w:tc>
              <w:tc>
                <w:tcPr>
                  <w:tcW w:w="777" w:type="dxa"/>
                  <w:tcBorders>
                    <w:top w:val="single" w:color="auto" w:sz="4" w:space="0"/>
                    <w:left w:val="nil"/>
                    <w:bottom w:val="single" w:color="auto" w:sz="4" w:space="0"/>
                    <w:right w:val="nil"/>
                  </w:tcBorders>
                  <w:vAlign w:val="center"/>
                </w:tcPr>
                <w:p>
                  <w:pPr>
                    <w:overflowPunct w:val="0"/>
                    <w:autoSpaceDE w:val="0"/>
                    <w:jc w:val="center"/>
                    <w:rPr>
                      <w:sz w:val="21"/>
                      <w:szCs w:val="21"/>
                    </w:rPr>
                  </w:pPr>
                  <w:r>
                    <w:rPr>
                      <w:sz w:val="21"/>
                      <w:szCs w:val="21"/>
                      <w:lang w:bidi="ar"/>
                    </w:rPr>
                    <w:t>符合</w:t>
                  </w:r>
                  <w:r>
                    <w:rPr>
                      <w:bCs/>
                      <w:sz w:val="21"/>
                      <w:szCs w:val="21"/>
                      <w:lang w:bidi="ar"/>
                    </w:rPr>
                    <w:t>生态保护红线要求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176" w:hRule="atLeast"/>
                <w:jc w:val="center"/>
              </w:trPr>
              <w:tc>
                <w:tcPr>
                  <w:tcW w:w="3046" w:type="dxa"/>
                  <w:tcBorders>
                    <w:top w:val="single" w:color="auto" w:sz="4" w:space="0"/>
                    <w:left w:val="nil"/>
                    <w:bottom w:val="single" w:color="auto" w:sz="4" w:space="0"/>
                    <w:right w:val="single" w:color="auto" w:sz="4" w:space="0"/>
                  </w:tcBorders>
                  <w:vAlign w:val="center"/>
                </w:tcPr>
                <w:p>
                  <w:pPr>
                    <w:overflowPunct w:val="0"/>
                    <w:autoSpaceDE w:val="0"/>
                    <w:rPr>
                      <w:sz w:val="21"/>
                      <w:szCs w:val="21"/>
                    </w:rPr>
                  </w:pPr>
                  <w:r>
                    <w:rPr>
                      <w:sz w:val="21"/>
                      <w:szCs w:val="21"/>
                      <w:lang w:bidi="ar"/>
                    </w:rPr>
                    <w:t>环境质量底线：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715" w:type="dxa"/>
                  <w:tcBorders>
                    <w:top w:val="single" w:color="auto" w:sz="4" w:space="0"/>
                    <w:left w:val="nil"/>
                    <w:bottom w:val="single" w:color="auto" w:sz="4" w:space="0"/>
                    <w:right w:val="single" w:color="auto" w:sz="4" w:space="0"/>
                  </w:tcBorders>
                  <w:vAlign w:val="center"/>
                </w:tcPr>
                <w:p>
                  <w:pPr>
                    <w:widowControl/>
                    <w:rPr>
                      <w:sz w:val="21"/>
                      <w:szCs w:val="21"/>
                    </w:rPr>
                  </w:pPr>
                  <w:r>
                    <w:rPr>
                      <w:sz w:val="21"/>
                      <w:szCs w:val="21"/>
                    </w:rPr>
                    <w:t>项目所在区域环境空气质量属于二类功能区，声环境属于3类功能区。根据环境质量现状监测数据，项目所在区域环境空气、声环境现状均满足相应环境功能区划要求。本工程建成后不产生废气，不会因本工程的建设而降低现有空气质量级别。</w:t>
                  </w:r>
                  <w:r>
                    <w:rPr>
                      <w:kern w:val="0"/>
                      <w:sz w:val="21"/>
                      <w:szCs w:val="21"/>
                      <w:lang w:bidi="ar"/>
                    </w:rPr>
                    <w:t>本工程施工过程中主要污染物为施工扬尘、污水和施工垃圾等，对环境影响较小，随着施工期的结束而终止。本工程为天然气管道建设工程，属于非污染类建设工程，运营期无废气、废水、噪声、固废排放，</w:t>
                  </w:r>
                  <w:r>
                    <w:rPr>
                      <w:rFonts w:hint="eastAsia"/>
                      <w:kern w:val="0"/>
                      <w:sz w:val="21"/>
                      <w:szCs w:val="21"/>
                      <w:lang w:eastAsia="zh-CN" w:bidi="ar"/>
                    </w:rPr>
                    <w:t>运营</w:t>
                  </w:r>
                  <w:r>
                    <w:rPr>
                      <w:kern w:val="0"/>
                      <w:sz w:val="21"/>
                      <w:szCs w:val="21"/>
                      <w:lang w:bidi="ar"/>
                    </w:rPr>
                    <w:t>期环境影响主要为正效应。上述污染物对周围环境影响很小，不会触及环境质量底线。</w:t>
                  </w:r>
                </w:p>
              </w:tc>
              <w:tc>
                <w:tcPr>
                  <w:tcW w:w="777" w:type="dxa"/>
                  <w:tcBorders>
                    <w:top w:val="single" w:color="auto" w:sz="4" w:space="0"/>
                    <w:left w:val="nil"/>
                    <w:bottom w:val="single" w:color="auto" w:sz="4" w:space="0"/>
                    <w:right w:val="nil"/>
                  </w:tcBorders>
                  <w:vAlign w:val="center"/>
                </w:tcPr>
                <w:p>
                  <w:pPr>
                    <w:overflowPunct w:val="0"/>
                    <w:autoSpaceDE w:val="0"/>
                    <w:jc w:val="center"/>
                    <w:rPr>
                      <w:sz w:val="21"/>
                      <w:szCs w:val="21"/>
                    </w:rPr>
                  </w:pPr>
                  <w:r>
                    <w:rPr>
                      <w:sz w:val="21"/>
                      <w:szCs w:val="21"/>
                      <w:lang w:bidi="ar"/>
                    </w:rPr>
                    <w:t>符合</w:t>
                  </w:r>
                  <w:r>
                    <w:rPr>
                      <w:kern w:val="0"/>
                      <w:sz w:val="21"/>
                      <w:szCs w:val="21"/>
                      <w:lang w:bidi="ar"/>
                    </w:rPr>
                    <w:t>环境质量底线要求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2607" w:hRule="atLeast"/>
                <w:jc w:val="center"/>
              </w:trPr>
              <w:tc>
                <w:tcPr>
                  <w:tcW w:w="3046" w:type="dxa"/>
                  <w:tcBorders>
                    <w:top w:val="single" w:color="auto" w:sz="4" w:space="0"/>
                    <w:left w:val="nil"/>
                    <w:bottom w:val="single" w:color="auto" w:sz="4" w:space="0"/>
                    <w:right w:val="single" w:color="auto" w:sz="4" w:space="0"/>
                  </w:tcBorders>
                  <w:vAlign w:val="center"/>
                </w:tcPr>
                <w:p>
                  <w:pPr>
                    <w:widowControl/>
                    <w:rPr>
                      <w:sz w:val="21"/>
                      <w:szCs w:val="21"/>
                    </w:rPr>
                  </w:pPr>
                  <w:r>
                    <w:rPr>
                      <w:kern w:val="0"/>
                      <w:sz w:val="21"/>
                      <w:szCs w:val="21"/>
                      <w:lang w:bidi="ar"/>
                    </w:rPr>
                    <w:t>资源利用上线：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715" w:type="dxa"/>
                  <w:tcBorders>
                    <w:top w:val="single" w:color="auto" w:sz="4" w:space="0"/>
                    <w:left w:val="nil"/>
                    <w:bottom w:val="single" w:color="auto" w:sz="4" w:space="0"/>
                    <w:right w:val="single" w:color="auto" w:sz="4" w:space="0"/>
                  </w:tcBorders>
                  <w:vAlign w:val="center"/>
                </w:tcPr>
                <w:p>
                  <w:pPr>
                    <w:snapToGrid w:val="0"/>
                  </w:pPr>
                  <w:r>
                    <w:rPr>
                      <w:kern w:val="0"/>
                      <w:sz w:val="21"/>
                      <w:szCs w:val="21"/>
                      <w:lang w:bidi="ar"/>
                    </w:rPr>
                    <w:t>本工程施工用水和生活用水采用</w:t>
                  </w:r>
                  <w:r>
                    <w:rPr>
                      <w:rFonts w:hint="eastAsia"/>
                      <w:kern w:val="0"/>
                      <w:sz w:val="21"/>
                      <w:szCs w:val="21"/>
                      <w:lang w:eastAsia="zh-CN" w:bidi="ar"/>
                    </w:rPr>
                    <w:t>旁边</w:t>
                  </w:r>
                  <w:r>
                    <w:rPr>
                      <w:kern w:val="0"/>
                      <w:sz w:val="21"/>
                      <w:szCs w:val="21"/>
                      <w:lang w:bidi="ar"/>
                    </w:rPr>
                    <w:t>的综合保税区接入，使用量不大，项目的实施不占用大量自然资源，不会突破区域资源利用上线。</w:t>
                  </w:r>
                </w:p>
              </w:tc>
              <w:tc>
                <w:tcPr>
                  <w:tcW w:w="777" w:type="dxa"/>
                  <w:tcBorders>
                    <w:top w:val="single" w:color="auto" w:sz="4" w:space="0"/>
                    <w:left w:val="nil"/>
                    <w:bottom w:val="single" w:color="auto" w:sz="4" w:space="0"/>
                    <w:right w:val="nil"/>
                  </w:tcBorders>
                  <w:vAlign w:val="center"/>
                </w:tcPr>
                <w:p>
                  <w:pPr>
                    <w:overflowPunct w:val="0"/>
                    <w:autoSpaceDE w:val="0"/>
                    <w:jc w:val="center"/>
                    <w:rPr>
                      <w:sz w:val="21"/>
                      <w:szCs w:val="21"/>
                    </w:rPr>
                  </w:pPr>
                  <w:r>
                    <w:rPr>
                      <w:sz w:val="21"/>
                      <w:szCs w:val="21"/>
                      <w:lang w:bidi="ar"/>
                    </w:rPr>
                    <w:t>符合</w:t>
                  </w:r>
                  <w:r>
                    <w:rPr>
                      <w:kern w:val="0"/>
                      <w:sz w:val="21"/>
                      <w:szCs w:val="21"/>
                      <w:lang w:bidi="ar"/>
                    </w:rPr>
                    <w:t>资源利用上线要求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1075" w:hRule="atLeast"/>
                <w:jc w:val="center"/>
              </w:trPr>
              <w:tc>
                <w:tcPr>
                  <w:tcW w:w="3046" w:type="dxa"/>
                  <w:tcBorders>
                    <w:top w:val="single" w:color="auto" w:sz="4" w:space="0"/>
                    <w:left w:val="nil"/>
                    <w:bottom w:val="single" w:color="auto" w:sz="12" w:space="0"/>
                    <w:right w:val="single" w:color="auto" w:sz="4" w:space="0"/>
                  </w:tcBorders>
                  <w:vAlign w:val="center"/>
                </w:tcPr>
                <w:p>
                  <w:pPr>
                    <w:overflowPunct w:val="0"/>
                    <w:autoSpaceDE w:val="0"/>
                    <w:ind w:firstLine="420" w:firstLineChars="200"/>
                    <w:rPr>
                      <w:sz w:val="21"/>
                      <w:szCs w:val="21"/>
                    </w:rPr>
                  </w:pPr>
                  <w:r>
                    <w:rPr>
                      <w:sz w:val="21"/>
                      <w:szCs w:val="21"/>
                      <w:lang w:bidi="ar"/>
                    </w:rPr>
                    <w:t>生态环境准入清单：指基于环境管控单元，统筹考虑生态保护红线、环境质量底线、资源利用上线的管控要求，提出的空间布局、污染物排放、环境风险、资源开发利用等方面禁止和限制的环境准入要求。</w:t>
                  </w:r>
                </w:p>
              </w:tc>
              <w:tc>
                <w:tcPr>
                  <w:tcW w:w="2715" w:type="dxa"/>
                  <w:tcBorders>
                    <w:top w:val="single" w:color="auto" w:sz="4" w:space="0"/>
                    <w:left w:val="nil"/>
                    <w:bottom w:val="single" w:color="auto" w:sz="12" w:space="0"/>
                    <w:right w:val="single" w:color="auto" w:sz="4" w:space="0"/>
                  </w:tcBorders>
                  <w:vAlign w:val="center"/>
                </w:tcPr>
                <w:p>
                  <w:pPr>
                    <w:overflowPunct w:val="0"/>
                    <w:autoSpaceDE w:val="0"/>
                    <w:rPr>
                      <w:sz w:val="21"/>
                      <w:szCs w:val="21"/>
                    </w:rPr>
                  </w:pPr>
                  <w:r>
                    <w:rPr>
                      <w:sz w:val="21"/>
                      <w:szCs w:val="21"/>
                      <w:lang w:bidi="ar"/>
                    </w:rPr>
                    <w:t>本项目属于航空货运区建设项目和燃气管道建设项目，为鼓励类项目，符合国家产业政策要求。项目位于喀什市，属于七大片区的“南疆三地州”，符合喀什地区生态环境准入清单要求。</w:t>
                  </w:r>
                </w:p>
              </w:tc>
              <w:tc>
                <w:tcPr>
                  <w:tcW w:w="777" w:type="dxa"/>
                  <w:tcBorders>
                    <w:top w:val="single" w:color="auto" w:sz="4" w:space="0"/>
                    <w:left w:val="nil"/>
                    <w:bottom w:val="single" w:color="auto" w:sz="12" w:space="0"/>
                    <w:right w:val="nil"/>
                  </w:tcBorders>
                  <w:vAlign w:val="center"/>
                </w:tcPr>
                <w:p>
                  <w:pPr>
                    <w:overflowPunct w:val="0"/>
                    <w:autoSpaceDE w:val="0"/>
                    <w:jc w:val="center"/>
                    <w:rPr>
                      <w:sz w:val="21"/>
                      <w:szCs w:val="21"/>
                    </w:rPr>
                  </w:pPr>
                  <w:r>
                    <w:rPr>
                      <w:sz w:val="21"/>
                      <w:szCs w:val="21"/>
                      <w:lang w:bidi="ar"/>
                    </w:rPr>
                    <w:t>符合环境准入负面清单要求</w:t>
                  </w:r>
                </w:p>
              </w:tc>
            </w:tr>
          </w:tbl>
          <w:p>
            <w:pPr>
              <w:autoSpaceDE w:val="0"/>
              <w:adjustRightInd w:val="0"/>
              <w:spacing w:before="120" w:beforeLines="50" w:line="360" w:lineRule="auto"/>
              <w:rPr>
                <w:b/>
                <w:bCs/>
                <w:lang w:bidi="ar"/>
              </w:rPr>
            </w:pPr>
            <w:r>
              <w:rPr>
                <w:b/>
                <w:bCs/>
                <w:lang w:bidi="ar"/>
              </w:rPr>
              <w:t>3.2与喀什地区“三线一单”符合性分析</w:t>
            </w:r>
          </w:p>
          <w:p>
            <w:pPr>
              <w:widowControl/>
              <w:spacing w:line="360" w:lineRule="auto"/>
              <w:ind w:firstLine="480" w:firstLineChars="200"/>
              <w:jc w:val="left"/>
              <w:rPr>
                <w:kern w:val="21"/>
                <w:lang w:bidi="ar"/>
              </w:rPr>
            </w:pPr>
            <w:r>
              <w:rPr>
                <w:kern w:val="21"/>
                <w:lang w:bidi="ar"/>
              </w:rPr>
              <w:t>同时，本工程符合《新疆维吾尔自治区“三线一单”生态环境分区管控方案》的相关要求，切实加强污染物排放管控和环境风险防控。本工程位于新疆维吾尔自治区喀什经济开发区，根据《喀什地区“三线一单”生态环境分区管控方案及生态环境准入清单》本工程所属为文件中</w:t>
            </w:r>
            <w:r>
              <w:rPr>
                <w:kern w:val="0"/>
                <w:lang w:bidi="ar"/>
              </w:rPr>
              <w:t>ZH65310130001</w:t>
            </w:r>
            <w:r>
              <w:rPr>
                <w:kern w:val="21"/>
                <w:lang w:bidi="ar"/>
              </w:rPr>
              <w:t>“喀什市一般管控单元”；喀什地区环境管控单元分类图见附图</w:t>
            </w:r>
            <w:r>
              <w:rPr>
                <w:rFonts w:hint="eastAsia"/>
                <w:kern w:val="21"/>
                <w:lang w:val="en-US" w:eastAsia="zh-CN" w:bidi="ar"/>
              </w:rPr>
              <w:t>4</w:t>
            </w:r>
            <w:r>
              <w:rPr>
                <w:kern w:val="21"/>
                <w:lang w:bidi="ar"/>
              </w:rPr>
              <w:t>。本工程与其符合情况见下表。</w:t>
            </w:r>
          </w:p>
          <w:p>
            <w:pPr>
              <w:widowControl/>
              <w:adjustRightInd w:val="0"/>
              <w:jc w:val="center"/>
              <w:rPr>
                <w:b/>
                <w:bCs/>
                <w:kern w:val="0"/>
                <w:sz w:val="21"/>
                <w:szCs w:val="21"/>
                <w:lang w:bidi="ar"/>
              </w:rPr>
            </w:pPr>
            <w:r>
              <w:rPr>
                <w:b/>
                <w:bCs/>
                <w:kern w:val="0"/>
                <w:sz w:val="21"/>
                <w:szCs w:val="21"/>
                <w:lang w:bidi="ar"/>
              </w:rPr>
              <w:t>表12    项目与喀什地区“三线一单”符合性分析一览表</w:t>
            </w:r>
          </w:p>
          <w:tbl>
            <w:tblPr>
              <w:tblStyle w:val="23"/>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20"/>
              <w:gridCol w:w="559"/>
              <w:gridCol w:w="3145"/>
              <w:gridCol w:w="2041"/>
              <w:gridCol w:w="4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72" w:hRule="atLeast"/>
                <w:jc w:val="center"/>
              </w:trPr>
              <w:tc>
                <w:tcPr>
                  <w:tcW w:w="522" w:type="pct"/>
                  <w:tcBorders>
                    <w:tl2br w:val="nil"/>
                    <w:tr2bl w:val="nil"/>
                  </w:tcBorders>
                  <w:vAlign w:val="center"/>
                </w:tcPr>
                <w:p>
                  <w:pPr>
                    <w:widowControl/>
                    <w:jc w:val="center"/>
                    <w:rPr>
                      <w:b/>
                      <w:kern w:val="0"/>
                      <w:sz w:val="21"/>
                      <w:szCs w:val="21"/>
                      <w:lang w:bidi="ar"/>
                    </w:rPr>
                  </w:pPr>
                  <w:r>
                    <w:rPr>
                      <w:b/>
                      <w:kern w:val="0"/>
                      <w:sz w:val="21"/>
                      <w:szCs w:val="21"/>
                      <w:lang w:bidi="ar"/>
                    </w:rPr>
                    <w:t>管控单元名称</w:t>
                  </w:r>
                </w:p>
              </w:tc>
              <w:tc>
                <w:tcPr>
                  <w:tcW w:w="2683" w:type="pct"/>
                  <w:gridSpan w:val="2"/>
                  <w:tcBorders>
                    <w:tl2br w:val="nil"/>
                    <w:tr2bl w:val="nil"/>
                  </w:tcBorders>
                  <w:vAlign w:val="center"/>
                </w:tcPr>
                <w:p>
                  <w:pPr>
                    <w:widowControl/>
                    <w:jc w:val="center"/>
                    <w:rPr>
                      <w:b/>
                      <w:sz w:val="21"/>
                      <w:szCs w:val="21"/>
                      <w:lang w:bidi="ar"/>
                    </w:rPr>
                  </w:pPr>
                  <w:r>
                    <w:rPr>
                      <w:b/>
                      <w:kern w:val="0"/>
                      <w:sz w:val="21"/>
                      <w:szCs w:val="21"/>
                      <w:lang w:bidi="ar"/>
                    </w:rPr>
                    <w:t>管控要求</w:t>
                  </w:r>
                </w:p>
              </w:tc>
              <w:tc>
                <w:tcPr>
                  <w:tcW w:w="1478" w:type="pct"/>
                  <w:tcBorders>
                    <w:tl2br w:val="nil"/>
                    <w:tr2bl w:val="nil"/>
                  </w:tcBorders>
                  <w:vAlign w:val="center"/>
                </w:tcPr>
                <w:p>
                  <w:pPr>
                    <w:overflowPunct w:val="0"/>
                    <w:autoSpaceDE w:val="0"/>
                    <w:jc w:val="center"/>
                    <w:rPr>
                      <w:b/>
                      <w:sz w:val="21"/>
                      <w:szCs w:val="21"/>
                    </w:rPr>
                  </w:pPr>
                  <w:r>
                    <w:rPr>
                      <w:b/>
                      <w:sz w:val="21"/>
                      <w:szCs w:val="21"/>
                      <w:lang w:bidi="ar"/>
                    </w:rPr>
                    <w:t>本工程情况</w:t>
                  </w:r>
                </w:p>
              </w:tc>
              <w:tc>
                <w:tcPr>
                  <w:tcW w:w="315" w:type="pct"/>
                  <w:tcBorders>
                    <w:tl2br w:val="nil"/>
                    <w:tr2bl w:val="nil"/>
                  </w:tcBorders>
                  <w:vAlign w:val="center"/>
                </w:tcPr>
                <w:p>
                  <w:pPr>
                    <w:overflowPunct w:val="0"/>
                    <w:autoSpaceDE w:val="0"/>
                    <w:jc w:val="center"/>
                    <w:rPr>
                      <w:b/>
                      <w:sz w:val="21"/>
                      <w:szCs w:val="21"/>
                    </w:rPr>
                  </w:pPr>
                  <w:r>
                    <w:rPr>
                      <w:b/>
                      <w:sz w:val="21"/>
                      <w:szCs w:val="21"/>
                      <w:lang w:bidi="ar"/>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88" w:hRule="atLeast"/>
                <w:jc w:val="center"/>
              </w:trPr>
              <w:tc>
                <w:tcPr>
                  <w:tcW w:w="522" w:type="pct"/>
                  <w:vMerge w:val="restart"/>
                  <w:tcBorders>
                    <w:tl2br w:val="nil"/>
                    <w:tr2bl w:val="nil"/>
                  </w:tcBorders>
                  <w:vAlign w:val="center"/>
                </w:tcPr>
                <w:p>
                  <w:pPr>
                    <w:widowControl/>
                    <w:jc w:val="center"/>
                    <w:rPr>
                      <w:bCs/>
                      <w:kern w:val="0"/>
                      <w:sz w:val="21"/>
                      <w:szCs w:val="21"/>
                      <w:lang w:bidi="ar"/>
                    </w:rPr>
                  </w:pPr>
                  <w:r>
                    <w:rPr>
                      <w:kern w:val="0"/>
                      <w:sz w:val="21"/>
                      <w:szCs w:val="21"/>
                      <w:lang w:bidi="ar"/>
                    </w:rPr>
                    <w:t>ZH65310130001</w:t>
                  </w:r>
                  <w:r>
                    <w:rPr>
                      <w:bCs/>
                      <w:kern w:val="0"/>
                      <w:sz w:val="21"/>
                      <w:szCs w:val="21"/>
                      <w:lang w:bidi="ar"/>
                    </w:rPr>
                    <w:t>喀什市一般管控单元</w:t>
                  </w:r>
                </w:p>
              </w:tc>
              <w:tc>
                <w:tcPr>
                  <w:tcW w:w="405" w:type="pct"/>
                  <w:tcBorders>
                    <w:tl2br w:val="nil"/>
                    <w:tr2bl w:val="nil"/>
                  </w:tcBorders>
                  <w:vAlign w:val="center"/>
                </w:tcPr>
                <w:p>
                  <w:pPr>
                    <w:widowControl/>
                    <w:jc w:val="center"/>
                    <w:rPr>
                      <w:bCs/>
                      <w:sz w:val="21"/>
                      <w:szCs w:val="21"/>
                    </w:rPr>
                  </w:pPr>
                  <w:r>
                    <w:rPr>
                      <w:bCs/>
                      <w:kern w:val="0"/>
                      <w:sz w:val="21"/>
                      <w:szCs w:val="21"/>
                      <w:lang w:bidi="ar"/>
                    </w:rPr>
                    <w:t>空间布局约束</w:t>
                  </w:r>
                </w:p>
              </w:tc>
              <w:tc>
                <w:tcPr>
                  <w:tcW w:w="2277" w:type="pct"/>
                  <w:tcBorders>
                    <w:tl2br w:val="nil"/>
                    <w:tr2bl w:val="nil"/>
                  </w:tcBorders>
                  <w:vAlign w:val="center"/>
                </w:tcPr>
                <w:p>
                  <w:pPr>
                    <w:widowControl/>
                    <w:jc w:val="left"/>
                    <w:rPr>
                      <w:sz w:val="21"/>
                      <w:szCs w:val="21"/>
                    </w:rPr>
                  </w:pPr>
                  <w:r>
                    <w:rPr>
                      <w:kern w:val="0"/>
                      <w:sz w:val="21"/>
                      <w:szCs w:val="21"/>
                      <w:lang w:bidi="ar"/>
                    </w:rPr>
                    <w:t>1.执行喀什地区总体管控要求中“A1.3-1、A1.3-3、A1.3-6、A1.3-7、A1.4-1、A1.4-2、A1.4-3、A1.4-4、A1.4-6”的相关要求。</w:t>
                  </w:r>
                </w:p>
                <w:p>
                  <w:pPr>
                    <w:widowControl/>
                    <w:jc w:val="left"/>
                    <w:rPr>
                      <w:sz w:val="21"/>
                      <w:szCs w:val="21"/>
                    </w:rPr>
                  </w:pPr>
                  <w:r>
                    <w:rPr>
                      <w:kern w:val="0"/>
                      <w:sz w:val="21"/>
                      <w:szCs w:val="21"/>
                      <w:lang w:bidi="ar"/>
                    </w:rPr>
                    <w:t xml:space="preserve">2.执行喀什地区一般环境管控单元分类管控要求中“A7.1”的相关要求。 </w:t>
                  </w:r>
                </w:p>
                <w:p>
                  <w:pPr>
                    <w:widowControl/>
                    <w:jc w:val="left"/>
                    <w:rPr>
                      <w:sz w:val="21"/>
                      <w:szCs w:val="21"/>
                    </w:rPr>
                  </w:pPr>
                  <w:r>
                    <w:rPr>
                      <w:kern w:val="0"/>
                      <w:sz w:val="21"/>
                      <w:szCs w:val="21"/>
                      <w:lang w:bidi="ar"/>
                    </w:rPr>
                    <w:t xml:space="preserve">3.项目准入必须符合《新疆喀什噶尔河流域克孜河河道岸线保护与利用规划》、《新疆喀什噶尔河流域恰克玛克河河道岸线保护与利用规划》相关要求，禁止在河道岸线保护范围建设可能影响防洪工程安全和重要水利工程安全与正常运行的项目。允许开展防洪工程建设，以及生态治理工程建设。因防洪安全、河势稳定、供水安全及经济社会发展需要必须建设的堤防护岸、河道治理、取水、公共管理、生态环境治理、国家重要基础设施等工程，须 </w:t>
                  </w:r>
                </w:p>
                <w:p>
                  <w:pPr>
                    <w:widowControl/>
                    <w:jc w:val="left"/>
                    <w:rPr>
                      <w:bCs/>
                      <w:sz w:val="21"/>
                      <w:szCs w:val="21"/>
                    </w:rPr>
                  </w:pPr>
                  <w:r>
                    <w:rPr>
                      <w:kern w:val="0"/>
                      <w:sz w:val="21"/>
                      <w:szCs w:val="21"/>
                      <w:lang w:bidi="ar"/>
                    </w:rPr>
                    <w:t>经科学论证，并严格按照法律法规要求履行相关审批程序。不得在保护范围内倾倒垃圾和排放污染物，不得造成水体污染。</w:t>
                  </w:r>
                </w:p>
              </w:tc>
              <w:tc>
                <w:tcPr>
                  <w:tcW w:w="1478" w:type="pct"/>
                  <w:tcBorders>
                    <w:tl2br w:val="nil"/>
                    <w:tr2bl w:val="nil"/>
                  </w:tcBorders>
                  <w:vAlign w:val="center"/>
                </w:tcPr>
                <w:p>
                  <w:pPr>
                    <w:widowControl/>
                    <w:jc w:val="left"/>
                    <w:rPr>
                      <w:kern w:val="0"/>
                      <w:sz w:val="21"/>
                      <w:szCs w:val="21"/>
                      <w:lang w:bidi="ar"/>
                    </w:rPr>
                  </w:pPr>
                  <w:r>
                    <w:rPr>
                      <w:kern w:val="0"/>
                      <w:sz w:val="21"/>
                      <w:szCs w:val="21"/>
                      <w:lang w:bidi="ar"/>
                    </w:rPr>
                    <w:t>1.本工程为</w:t>
                  </w:r>
                  <w:r>
                    <w:rPr>
                      <w:sz w:val="21"/>
                      <w:szCs w:val="21"/>
                      <w:lang w:bidi="ar"/>
                    </w:rPr>
                    <w:t>航空货运区建设项目和燃气管道建设项目</w:t>
                  </w:r>
                  <w:r>
                    <w:rPr>
                      <w:kern w:val="0"/>
                      <w:sz w:val="21"/>
                      <w:szCs w:val="21"/>
                      <w:lang w:bidi="ar"/>
                    </w:rPr>
                    <w:t>，属于《产业结构调整指导目录（2014年）》中“鼓励类”项目，不属于污染类项目，满足准入要求。</w:t>
                  </w:r>
                </w:p>
                <w:p>
                  <w:pPr>
                    <w:pStyle w:val="46"/>
                    <w:spacing w:before="24" w:line="227" w:lineRule="auto"/>
                    <w:ind w:left="13"/>
                    <w:outlineLvl w:val="1"/>
                    <w:rPr>
                      <w:rFonts w:ascii="Times New Roman" w:hAnsi="Times New Roman" w:eastAsia="宋体" w:cs="Times New Roman"/>
                      <w:kern w:val="0"/>
                      <w:lang w:eastAsia="zh-CN" w:bidi="ar"/>
                    </w:rPr>
                  </w:pPr>
                  <w:r>
                    <w:rPr>
                      <w:rFonts w:ascii="Times New Roman" w:hAnsi="Times New Roman" w:eastAsia="宋体" w:cs="Times New Roman"/>
                      <w:kern w:val="0"/>
                      <w:lang w:eastAsia="zh-CN" w:bidi="ar"/>
                    </w:rPr>
                    <w:t>2.项目不属于“两高”、重污染项目，项目占地为临时用地，</w:t>
                  </w:r>
                  <w:r>
                    <w:rPr>
                      <w:rFonts w:ascii="Times New Roman" w:hAnsi="Times New Roman" w:cs="Times New Roman"/>
                      <w:spacing w:val="7"/>
                      <w:lang w:eastAsia="zh-CN"/>
                    </w:rPr>
                    <w:t>不属于重点</w:t>
                  </w:r>
                  <w:r>
                    <w:rPr>
                      <w:rFonts w:ascii="Times New Roman" w:hAnsi="Times New Roman" w:cs="Times New Roman"/>
                      <w:spacing w:val="2"/>
                      <w:lang w:eastAsia="zh-CN"/>
                    </w:rPr>
                    <w:t>工业</w:t>
                  </w:r>
                  <w:r>
                    <w:rPr>
                      <w:rFonts w:ascii="Times New Roman" w:hAnsi="Times New Roman" w:eastAsia="宋体" w:cs="Times New Roman"/>
                      <w:spacing w:val="2"/>
                      <w:lang w:eastAsia="zh-CN"/>
                    </w:rPr>
                    <w:t>项目，</w:t>
                  </w:r>
                  <w:r>
                    <w:rPr>
                      <w:rFonts w:ascii="Times New Roman" w:hAnsi="Times New Roman" w:eastAsia="宋体" w:cs="Times New Roman"/>
                      <w:kern w:val="0"/>
                      <w:lang w:eastAsia="zh-CN" w:bidi="ar"/>
                    </w:rPr>
                    <w:t>满足“喀什地区一般环境管控单元”空间约束要求。</w:t>
                  </w:r>
                </w:p>
                <w:p>
                  <w:pPr>
                    <w:widowControl/>
                    <w:jc w:val="left"/>
                    <w:rPr>
                      <w:sz w:val="21"/>
                      <w:szCs w:val="21"/>
                    </w:rPr>
                  </w:pPr>
                  <w:r>
                    <w:rPr>
                      <w:kern w:val="0"/>
                      <w:sz w:val="21"/>
                      <w:szCs w:val="21"/>
                      <w:lang w:bidi="ar"/>
                    </w:rPr>
                    <w:t>3.项目距离恰克玛克河最近处为0.5km,项目施工区域不在恰克玛克河河道岸线保护范围内，环评在施工期要求施工单位严格在施工范围进行，并做好固废和废水的处理，运营期无工业废水，严格按照国家有关规定进行危险废物贮存、转运和处置，产生的固废优先综合利用，不能利用的按规范安全处置对河流影响不大。</w:t>
                  </w:r>
                </w:p>
              </w:tc>
              <w:tc>
                <w:tcPr>
                  <w:tcW w:w="315" w:type="pct"/>
                  <w:tcBorders>
                    <w:tl2br w:val="nil"/>
                    <w:tr2bl w:val="nil"/>
                  </w:tcBorders>
                  <w:vAlign w:val="center"/>
                </w:tcPr>
                <w:p>
                  <w:pPr>
                    <w:overflowPunct w:val="0"/>
                    <w:autoSpaceDE w:val="0"/>
                    <w:jc w:val="center"/>
                    <w:rPr>
                      <w:bCs/>
                      <w:sz w:val="21"/>
                      <w:szCs w:val="21"/>
                    </w:rPr>
                  </w:pPr>
                  <w:r>
                    <w:rPr>
                      <w:bCs/>
                      <w:sz w:val="21"/>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76" w:hRule="atLeast"/>
                <w:jc w:val="center"/>
              </w:trPr>
              <w:tc>
                <w:tcPr>
                  <w:tcW w:w="522" w:type="pct"/>
                  <w:vMerge w:val="continue"/>
                  <w:tcBorders>
                    <w:tl2br w:val="nil"/>
                    <w:tr2bl w:val="nil"/>
                  </w:tcBorders>
                  <w:vAlign w:val="center"/>
                </w:tcPr>
                <w:p>
                  <w:pPr>
                    <w:widowControl/>
                    <w:jc w:val="center"/>
                    <w:rPr>
                      <w:bCs/>
                      <w:kern w:val="0"/>
                      <w:sz w:val="21"/>
                      <w:szCs w:val="21"/>
                      <w:lang w:bidi="ar"/>
                    </w:rPr>
                  </w:pPr>
                </w:p>
              </w:tc>
              <w:tc>
                <w:tcPr>
                  <w:tcW w:w="405" w:type="pct"/>
                  <w:tcBorders>
                    <w:tl2br w:val="nil"/>
                    <w:tr2bl w:val="nil"/>
                  </w:tcBorders>
                  <w:vAlign w:val="center"/>
                </w:tcPr>
                <w:p>
                  <w:pPr>
                    <w:widowControl/>
                    <w:jc w:val="left"/>
                    <w:rPr>
                      <w:sz w:val="21"/>
                      <w:szCs w:val="21"/>
                    </w:rPr>
                  </w:pPr>
                  <w:r>
                    <w:rPr>
                      <w:kern w:val="0"/>
                      <w:sz w:val="21"/>
                      <w:szCs w:val="21"/>
                      <w:lang w:bidi="ar"/>
                    </w:rPr>
                    <w:t>污染物排放管控</w:t>
                  </w:r>
                </w:p>
                <w:p>
                  <w:pPr>
                    <w:widowControl/>
                    <w:jc w:val="center"/>
                    <w:rPr>
                      <w:bCs/>
                      <w:kern w:val="0"/>
                      <w:sz w:val="21"/>
                      <w:szCs w:val="21"/>
                      <w:lang w:bidi="ar"/>
                    </w:rPr>
                  </w:pPr>
                </w:p>
              </w:tc>
              <w:tc>
                <w:tcPr>
                  <w:tcW w:w="2277" w:type="pct"/>
                  <w:tcBorders>
                    <w:tl2br w:val="nil"/>
                    <w:tr2bl w:val="nil"/>
                  </w:tcBorders>
                  <w:vAlign w:val="center"/>
                </w:tcPr>
                <w:p>
                  <w:pPr>
                    <w:widowControl/>
                    <w:jc w:val="left"/>
                    <w:rPr>
                      <w:sz w:val="21"/>
                      <w:szCs w:val="21"/>
                    </w:rPr>
                  </w:pPr>
                  <w:r>
                    <w:rPr>
                      <w:kern w:val="0"/>
                      <w:sz w:val="21"/>
                      <w:szCs w:val="21"/>
                      <w:lang w:bidi="ar"/>
                    </w:rPr>
                    <w:t xml:space="preserve">1.执行喀什地区总体管控要求中“A2.3-3、A2.3-4、A2.3-5、A2.3-6、A2.3-7、 </w:t>
                  </w:r>
                </w:p>
                <w:p>
                  <w:pPr>
                    <w:widowControl/>
                    <w:jc w:val="left"/>
                    <w:rPr>
                      <w:sz w:val="21"/>
                      <w:szCs w:val="21"/>
                    </w:rPr>
                  </w:pPr>
                  <w:r>
                    <w:rPr>
                      <w:kern w:val="0"/>
                      <w:sz w:val="21"/>
                      <w:szCs w:val="21"/>
                      <w:lang w:bidi="ar"/>
                    </w:rPr>
                    <w:t xml:space="preserve">A2.3-8”的相关要求。 </w:t>
                  </w:r>
                </w:p>
                <w:p>
                  <w:pPr>
                    <w:widowControl/>
                    <w:jc w:val="left"/>
                    <w:rPr>
                      <w:kern w:val="0"/>
                      <w:sz w:val="21"/>
                      <w:szCs w:val="21"/>
                      <w:lang w:bidi="ar"/>
                    </w:rPr>
                  </w:pPr>
                  <w:r>
                    <w:rPr>
                      <w:kern w:val="0"/>
                      <w:sz w:val="21"/>
                      <w:szCs w:val="21"/>
                      <w:lang w:bidi="ar"/>
                    </w:rPr>
                    <w:t>执行喀什地区一般环境管控单元分类管控要求中“A7.2”的相关要求。</w:t>
                  </w:r>
                </w:p>
                <w:p>
                  <w:pPr>
                    <w:widowControl/>
                    <w:jc w:val="left"/>
                    <w:rPr>
                      <w:sz w:val="21"/>
                      <w:szCs w:val="21"/>
                    </w:rPr>
                  </w:pPr>
                  <w:r>
                    <w:rPr>
                      <w:kern w:val="0"/>
                      <w:sz w:val="21"/>
                      <w:szCs w:val="21"/>
                      <w:lang w:bidi="ar"/>
                    </w:rPr>
                    <w:t xml:space="preserve">3.严格控制林地、草地、园地农药使用量，禁止使用高毒、高残留农药。 </w:t>
                  </w:r>
                </w:p>
                <w:p>
                  <w:pPr>
                    <w:widowControl/>
                    <w:jc w:val="left"/>
                    <w:rPr>
                      <w:sz w:val="21"/>
                      <w:szCs w:val="21"/>
                    </w:rPr>
                  </w:pPr>
                  <w:r>
                    <w:rPr>
                      <w:kern w:val="0"/>
                      <w:sz w:val="21"/>
                      <w:szCs w:val="21"/>
                      <w:lang w:bidi="ar"/>
                    </w:rPr>
                    <w:t>4.加强防护林、生态林建设，提高绿化覆盖率。</w:t>
                  </w:r>
                </w:p>
                <w:p>
                  <w:pPr>
                    <w:widowControl/>
                    <w:jc w:val="left"/>
                    <w:rPr>
                      <w:sz w:val="21"/>
                      <w:szCs w:val="21"/>
                    </w:rPr>
                  </w:pPr>
                  <w:r>
                    <w:rPr>
                      <w:kern w:val="0"/>
                      <w:sz w:val="21"/>
                      <w:szCs w:val="21"/>
                      <w:lang w:bidi="ar"/>
                    </w:rPr>
                    <w:t xml:space="preserve">5.促进垃圾减量化，无害化、资源化，加强焚烧处理及综合利用技术。 </w:t>
                  </w:r>
                </w:p>
                <w:p>
                  <w:pPr>
                    <w:widowControl/>
                    <w:jc w:val="left"/>
                    <w:rPr>
                      <w:sz w:val="21"/>
                      <w:szCs w:val="21"/>
                    </w:rPr>
                  </w:pPr>
                  <w:r>
                    <w:rPr>
                      <w:kern w:val="0"/>
                      <w:sz w:val="21"/>
                      <w:szCs w:val="21"/>
                      <w:lang w:bidi="ar"/>
                    </w:rPr>
                    <w:t>6.加强秸秆禁烧管控，推进秸秆综合利用，鼓励秸秆资源化、饲料化、肥料化利用。</w:t>
                  </w:r>
                </w:p>
                <w:p>
                  <w:pPr>
                    <w:pStyle w:val="30"/>
                    <w:jc w:val="both"/>
                    <w:rPr>
                      <w:rFonts w:eastAsia="宋体"/>
                      <w:bCs/>
                      <w:color w:val="auto"/>
                      <w:kern w:val="2"/>
                      <w:szCs w:val="21"/>
                    </w:rPr>
                  </w:pPr>
                </w:p>
              </w:tc>
              <w:tc>
                <w:tcPr>
                  <w:tcW w:w="1478" w:type="pct"/>
                  <w:tcBorders>
                    <w:tl2br w:val="nil"/>
                    <w:tr2bl w:val="nil"/>
                  </w:tcBorders>
                  <w:vAlign w:val="center"/>
                </w:tcPr>
                <w:p>
                  <w:pPr>
                    <w:widowControl/>
                    <w:jc w:val="left"/>
                    <w:rPr>
                      <w:sz w:val="21"/>
                      <w:szCs w:val="21"/>
                    </w:rPr>
                  </w:pPr>
                  <w:r>
                    <w:rPr>
                      <w:sz w:val="21"/>
                      <w:szCs w:val="21"/>
                    </w:rPr>
                    <w:t>1.本项目不属于污染类项目，满足“</w:t>
                  </w:r>
                  <w:r>
                    <w:rPr>
                      <w:kern w:val="0"/>
                      <w:sz w:val="21"/>
                      <w:szCs w:val="21"/>
                      <w:lang w:bidi="ar"/>
                    </w:rPr>
                    <w:t>喀什地区总体管控</w:t>
                  </w:r>
                  <w:r>
                    <w:rPr>
                      <w:sz w:val="21"/>
                      <w:szCs w:val="21"/>
                    </w:rPr>
                    <w:t>”</w:t>
                  </w:r>
                  <w:r>
                    <w:rPr>
                      <w:kern w:val="0"/>
                      <w:sz w:val="21"/>
                      <w:szCs w:val="21"/>
                      <w:lang w:bidi="ar"/>
                    </w:rPr>
                    <w:t>污染控制措施要求</w:t>
                  </w:r>
                </w:p>
                <w:p>
                  <w:pPr>
                    <w:widowControl/>
                    <w:jc w:val="left"/>
                    <w:rPr>
                      <w:kern w:val="0"/>
                      <w:sz w:val="21"/>
                      <w:szCs w:val="21"/>
                      <w:lang w:bidi="ar"/>
                    </w:rPr>
                  </w:pPr>
                  <w:r>
                    <w:rPr>
                      <w:sz w:val="21"/>
                      <w:szCs w:val="21"/>
                    </w:rPr>
                    <w:t>2.本项目废气主要为施工扬尘，采取措施后适当减少产生，施工期结束后消失，满足</w:t>
                  </w:r>
                  <w:r>
                    <w:rPr>
                      <w:kern w:val="0"/>
                      <w:sz w:val="21"/>
                      <w:szCs w:val="21"/>
                      <w:lang w:bidi="ar"/>
                    </w:rPr>
                    <w:t>污染物排放管控要求。</w:t>
                  </w:r>
                </w:p>
                <w:p>
                  <w:pPr>
                    <w:widowControl/>
                    <w:jc w:val="left"/>
                    <w:rPr>
                      <w:kern w:val="0"/>
                      <w:sz w:val="21"/>
                      <w:szCs w:val="21"/>
                      <w:lang w:bidi="ar"/>
                    </w:rPr>
                  </w:pPr>
                  <w:r>
                    <w:rPr>
                      <w:kern w:val="0"/>
                      <w:sz w:val="21"/>
                      <w:szCs w:val="21"/>
                      <w:lang w:bidi="ar"/>
                    </w:rPr>
                    <w:t>本项目不属于污染类项目，不涉及焚烧环节。施工期采取生态恢复措施，可以适当提高绿化率。</w:t>
                  </w:r>
                </w:p>
              </w:tc>
              <w:tc>
                <w:tcPr>
                  <w:tcW w:w="315" w:type="pct"/>
                  <w:tcBorders>
                    <w:tl2br w:val="nil"/>
                    <w:tr2bl w:val="nil"/>
                  </w:tcBorders>
                  <w:vAlign w:val="center"/>
                </w:tcPr>
                <w:p>
                  <w:pPr>
                    <w:overflowPunct w:val="0"/>
                    <w:autoSpaceDE w:val="0"/>
                    <w:jc w:val="center"/>
                    <w:rPr>
                      <w:bCs/>
                      <w:sz w:val="21"/>
                      <w:szCs w:val="21"/>
                      <w:lang w:bidi="ar"/>
                    </w:rPr>
                  </w:pPr>
                  <w:r>
                    <w:rPr>
                      <w:bCs/>
                      <w:sz w:val="21"/>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03" w:hRule="atLeast"/>
                <w:jc w:val="center"/>
              </w:trPr>
              <w:tc>
                <w:tcPr>
                  <w:tcW w:w="522" w:type="pct"/>
                  <w:vMerge w:val="continue"/>
                  <w:tcBorders>
                    <w:tl2br w:val="nil"/>
                    <w:tr2bl w:val="nil"/>
                  </w:tcBorders>
                  <w:vAlign w:val="center"/>
                </w:tcPr>
                <w:p>
                  <w:pPr>
                    <w:widowControl/>
                    <w:jc w:val="center"/>
                    <w:rPr>
                      <w:bCs/>
                      <w:kern w:val="0"/>
                      <w:sz w:val="21"/>
                      <w:szCs w:val="21"/>
                      <w:lang w:bidi="ar"/>
                    </w:rPr>
                  </w:pPr>
                </w:p>
              </w:tc>
              <w:tc>
                <w:tcPr>
                  <w:tcW w:w="405" w:type="pct"/>
                  <w:tcBorders>
                    <w:tl2br w:val="nil"/>
                    <w:tr2bl w:val="nil"/>
                  </w:tcBorders>
                  <w:vAlign w:val="center"/>
                </w:tcPr>
                <w:p>
                  <w:pPr>
                    <w:widowControl/>
                    <w:jc w:val="left"/>
                    <w:rPr>
                      <w:sz w:val="21"/>
                      <w:szCs w:val="21"/>
                    </w:rPr>
                  </w:pPr>
                  <w:r>
                    <w:rPr>
                      <w:kern w:val="0"/>
                      <w:sz w:val="21"/>
                      <w:szCs w:val="21"/>
                      <w:lang w:bidi="ar"/>
                    </w:rPr>
                    <w:t>环境风险防控</w:t>
                  </w:r>
                </w:p>
                <w:p>
                  <w:pPr>
                    <w:widowControl/>
                    <w:jc w:val="center"/>
                    <w:rPr>
                      <w:bCs/>
                      <w:kern w:val="0"/>
                      <w:sz w:val="21"/>
                      <w:szCs w:val="21"/>
                      <w:lang w:bidi="ar"/>
                    </w:rPr>
                  </w:pPr>
                </w:p>
              </w:tc>
              <w:tc>
                <w:tcPr>
                  <w:tcW w:w="2277" w:type="pct"/>
                  <w:tcBorders>
                    <w:tl2br w:val="nil"/>
                    <w:tr2bl w:val="nil"/>
                  </w:tcBorders>
                  <w:vAlign w:val="center"/>
                </w:tcPr>
                <w:p>
                  <w:pPr>
                    <w:widowControl/>
                    <w:jc w:val="left"/>
                    <w:rPr>
                      <w:sz w:val="21"/>
                      <w:szCs w:val="21"/>
                    </w:rPr>
                  </w:pPr>
                  <w:r>
                    <w:rPr>
                      <w:kern w:val="0"/>
                      <w:sz w:val="21"/>
                      <w:szCs w:val="21"/>
                      <w:lang w:bidi="ar"/>
                    </w:rPr>
                    <w:t>1.执行喀什地区总体管控要求中“A3.1”的相关要求。</w:t>
                  </w:r>
                </w:p>
                <w:p>
                  <w:pPr>
                    <w:widowControl/>
                    <w:jc w:val="left"/>
                    <w:rPr>
                      <w:sz w:val="21"/>
                      <w:szCs w:val="21"/>
                    </w:rPr>
                  </w:pPr>
                  <w:r>
                    <w:rPr>
                      <w:kern w:val="0"/>
                      <w:sz w:val="21"/>
                      <w:szCs w:val="21"/>
                      <w:lang w:bidi="ar"/>
                    </w:rPr>
                    <w:t>2.执行喀什地区一般环境管控单元分类管控要求中“A7.3”的相关要求。</w:t>
                  </w:r>
                </w:p>
                <w:p>
                  <w:pPr>
                    <w:widowControl/>
                    <w:jc w:val="left"/>
                    <w:rPr>
                      <w:bCs/>
                      <w:sz w:val="21"/>
                      <w:szCs w:val="21"/>
                    </w:rPr>
                  </w:pPr>
                  <w:r>
                    <w:rPr>
                      <w:kern w:val="0"/>
                      <w:sz w:val="21"/>
                      <w:szCs w:val="21"/>
                      <w:lang w:bidi="ar"/>
                    </w:rPr>
                    <w:t>3.加强水质监测与管理。</w:t>
                  </w:r>
                </w:p>
              </w:tc>
              <w:tc>
                <w:tcPr>
                  <w:tcW w:w="1478" w:type="pct"/>
                  <w:tcBorders>
                    <w:tl2br w:val="nil"/>
                    <w:tr2bl w:val="nil"/>
                  </w:tcBorders>
                  <w:vAlign w:val="center"/>
                </w:tcPr>
                <w:p>
                  <w:pPr>
                    <w:overflowPunct w:val="0"/>
                    <w:autoSpaceDE w:val="0"/>
                    <w:rPr>
                      <w:sz w:val="21"/>
                      <w:szCs w:val="21"/>
                    </w:rPr>
                  </w:pPr>
                  <w:r>
                    <w:rPr>
                      <w:sz w:val="21"/>
                      <w:szCs w:val="21"/>
                    </w:rPr>
                    <w:t>1.本项目选址不在化工园附近，项目施工结束后，会对破坏的场地进行生态恢复。</w:t>
                  </w:r>
                </w:p>
                <w:p>
                  <w:pPr>
                    <w:widowControl/>
                    <w:jc w:val="left"/>
                    <w:rPr>
                      <w:sz w:val="21"/>
                      <w:szCs w:val="21"/>
                    </w:rPr>
                  </w:pPr>
                  <w:r>
                    <w:rPr>
                      <w:sz w:val="21"/>
                      <w:szCs w:val="21"/>
                    </w:rPr>
                    <w:t>2.本项目除施工期扰动周边场地外，运营期不会对</w:t>
                  </w:r>
                  <w:r>
                    <w:rPr>
                      <w:kern w:val="0"/>
                      <w:sz w:val="21"/>
                      <w:szCs w:val="21"/>
                      <w:lang w:bidi="ar"/>
                    </w:rPr>
                    <w:t>自然生态系统产生影响。</w:t>
                  </w:r>
                </w:p>
                <w:p>
                  <w:pPr>
                    <w:overflowPunct w:val="0"/>
                    <w:autoSpaceDE w:val="0"/>
                    <w:rPr>
                      <w:sz w:val="21"/>
                      <w:szCs w:val="21"/>
                    </w:rPr>
                  </w:pPr>
                  <w:r>
                    <w:rPr>
                      <w:sz w:val="21"/>
                      <w:szCs w:val="21"/>
                    </w:rPr>
                    <w:t>3.本项目运营期不涉及水污染环节。</w:t>
                  </w:r>
                </w:p>
              </w:tc>
              <w:tc>
                <w:tcPr>
                  <w:tcW w:w="315" w:type="pct"/>
                  <w:tcBorders>
                    <w:tl2br w:val="nil"/>
                    <w:tr2bl w:val="nil"/>
                  </w:tcBorders>
                  <w:vAlign w:val="center"/>
                </w:tcPr>
                <w:p>
                  <w:pPr>
                    <w:overflowPunct w:val="0"/>
                    <w:autoSpaceDE w:val="0"/>
                    <w:jc w:val="center"/>
                    <w:rPr>
                      <w:bCs/>
                      <w:sz w:val="21"/>
                      <w:szCs w:val="21"/>
                      <w:lang w:bidi="ar"/>
                    </w:rPr>
                  </w:pPr>
                  <w:r>
                    <w:rPr>
                      <w:bCs/>
                      <w:sz w:val="21"/>
                      <w:szCs w:val="21"/>
                      <w:lang w:bidi="ar"/>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898" w:hRule="atLeast"/>
                <w:jc w:val="center"/>
              </w:trPr>
              <w:tc>
                <w:tcPr>
                  <w:tcW w:w="522" w:type="pct"/>
                  <w:vMerge w:val="continue"/>
                  <w:tcBorders>
                    <w:tl2br w:val="nil"/>
                    <w:tr2bl w:val="nil"/>
                  </w:tcBorders>
                  <w:vAlign w:val="center"/>
                </w:tcPr>
                <w:p>
                  <w:pPr>
                    <w:widowControl/>
                    <w:jc w:val="center"/>
                    <w:rPr>
                      <w:bCs/>
                      <w:kern w:val="0"/>
                      <w:sz w:val="21"/>
                      <w:szCs w:val="21"/>
                      <w:lang w:bidi="ar"/>
                    </w:rPr>
                  </w:pPr>
                </w:p>
              </w:tc>
              <w:tc>
                <w:tcPr>
                  <w:tcW w:w="405" w:type="pct"/>
                  <w:tcBorders>
                    <w:tl2br w:val="nil"/>
                    <w:tr2bl w:val="nil"/>
                  </w:tcBorders>
                  <w:vAlign w:val="center"/>
                </w:tcPr>
                <w:p>
                  <w:pPr>
                    <w:widowControl/>
                    <w:jc w:val="left"/>
                    <w:rPr>
                      <w:sz w:val="21"/>
                      <w:szCs w:val="21"/>
                    </w:rPr>
                  </w:pPr>
                  <w:r>
                    <w:rPr>
                      <w:kern w:val="0"/>
                      <w:sz w:val="21"/>
                      <w:szCs w:val="21"/>
                      <w:lang w:bidi="ar"/>
                    </w:rPr>
                    <w:t>资源开发利用效率</w:t>
                  </w:r>
                </w:p>
                <w:p>
                  <w:pPr>
                    <w:widowControl/>
                    <w:jc w:val="center"/>
                    <w:rPr>
                      <w:bCs/>
                      <w:kern w:val="0"/>
                      <w:sz w:val="21"/>
                      <w:szCs w:val="21"/>
                      <w:lang w:bidi="ar"/>
                    </w:rPr>
                  </w:pPr>
                </w:p>
              </w:tc>
              <w:tc>
                <w:tcPr>
                  <w:tcW w:w="2277" w:type="pct"/>
                  <w:tcBorders>
                    <w:tl2br w:val="nil"/>
                    <w:tr2bl w:val="nil"/>
                  </w:tcBorders>
                  <w:vAlign w:val="center"/>
                </w:tcPr>
                <w:p>
                  <w:pPr>
                    <w:widowControl/>
                    <w:jc w:val="left"/>
                    <w:rPr>
                      <w:sz w:val="21"/>
                      <w:szCs w:val="21"/>
                    </w:rPr>
                  </w:pPr>
                  <w:r>
                    <w:rPr>
                      <w:kern w:val="0"/>
                      <w:sz w:val="21"/>
                      <w:szCs w:val="21"/>
                      <w:lang w:bidi="ar"/>
                    </w:rPr>
                    <w:t>1.执行喀什地区总体管控要求中“A4.1、A4.2”的相关要求。</w:t>
                  </w:r>
                </w:p>
                <w:p>
                  <w:pPr>
                    <w:widowControl/>
                    <w:jc w:val="left"/>
                    <w:rPr>
                      <w:sz w:val="21"/>
                      <w:szCs w:val="21"/>
                    </w:rPr>
                  </w:pPr>
                  <w:r>
                    <w:rPr>
                      <w:kern w:val="0"/>
                      <w:sz w:val="21"/>
                      <w:szCs w:val="21"/>
                      <w:lang w:bidi="ar"/>
                    </w:rPr>
                    <w:t>2.执行喀什地区一般环境管控单元分类管控要求中“A7.4”的相关要求。</w:t>
                  </w:r>
                </w:p>
                <w:p>
                  <w:pPr>
                    <w:widowControl/>
                    <w:jc w:val="left"/>
                    <w:rPr>
                      <w:sz w:val="21"/>
                      <w:szCs w:val="21"/>
                    </w:rPr>
                  </w:pPr>
                  <w:r>
                    <w:rPr>
                      <w:kern w:val="0"/>
                      <w:sz w:val="21"/>
                      <w:szCs w:val="21"/>
                      <w:lang w:bidi="ar"/>
                    </w:rPr>
                    <w:t>3.养护和保育牧草资源，控制放牧强度。</w:t>
                  </w:r>
                </w:p>
                <w:p>
                  <w:pPr>
                    <w:widowControl/>
                    <w:jc w:val="left"/>
                    <w:rPr>
                      <w:sz w:val="21"/>
                      <w:szCs w:val="21"/>
                    </w:rPr>
                  </w:pPr>
                  <w:r>
                    <w:rPr>
                      <w:kern w:val="0"/>
                      <w:sz w:val="21"/>
                      <w:szCs w:val="21"/>
                      <w:lang w:bidi="ar"/>
                    </w:rPr>
                    <w:t>4.大力推行光伏、风电等清洁能源开发利用。</w:t>
                  </w:r>
                </w:p>
                <w:p>
                  <w:pPr>
                    <w:pStyle w:val="30"/>
                    <w:jc w:val="both"/>
                    <w:rPr>
                      <w:rFonts w:eastAsia="宋体"/>
                      <w:bCs/>
                      <w:color w:val="auto"/>
                      <w:kern w:val="2"/>
                      <w:szCs w:val="21"/>
                    </w:rPr>
                  </w:pPr>
                </w:p>
              </w:tc>
              <w:tc>
                <w:tcPr>
                  <w:tcW w:w="1478" w:type="pct"/>
                  <w:tcBorders>
                    <w:tl2br w:val="nil"/>
                    <w:tr2bl w:val="nil"/>
                  </w:tcBorders>
                  <w:vAlign w:val="center"/>
                </w:tcPr>
                <w:p>
                  <w:pPr>
                    <w:widowControl/>
                    <w:numPr>
                      <w:ilvl w:val="0"/>
                      <w:numId w:val="3"/>
                    </w:numPr>
                    <w:jc w:val="left"/>
                    <w:rPr>
                      <w:sz w:val="21"/>
                      <w:szCs w:val="21"/>
                    </w:rPr>
                  </w:pPr>
                  <w:r>
                    <w:rPr>
                      <w:sz w:val="21"/>
                      <w:szCs w:val="21"/>
                    </w:rPr>
                    <w:t>本项目除施工期间的部分用水循环使用，水土资源利用效率。</w:t>
                  </w:r>
                </w:p>
                <w:p>
                  <w:pPr>
                    <w:widowControl/>
                    <w:jc w:val="left"/>
                    <w:rPr>
                      <w:sz w:val="21"/>
                      <w:szCs w:val="21"/>
                    </w:rPr>
                  </w:pPr>
                  <w:r>
                    <w:rPr>
                      <w:sz w:val="21"/>
                      <w:szCs w:val="21"/>
                    </w:rPr>
                    <w:t>2.本项目为清洁能源输送管道，不涉及能源消耗。</w:t>
                  </w:r>
                </w:p>
                <w:p>
                  <w:pPr>
                    <w:widowControl/>
                    <w:jc w:val="left"/>
                    <w:rPr>
                      <w:sz w:val="21"/>
                      <w:szCs w:val="21"/>
                    </w:rPr>
                  </w:pPr>
                  <w:r>
                    <w:rPr>
                      <w:sz w:val="21"/>
                      <w:szCs w:val="21"/>
                    </w:rPr>
                    <w:t>3.本项目不涉及牧草资源的消耗。</w:t>
                  </w:r>
                </w:p>
                <w:p>
                  <w:pPr>
                    <w:widowControl/>
                    <w:jc w:val="left"/>
                    <w:rPr>
                      <w:sz w:val="21"/>
                      <w:szCs w:val="21"/>
                    </w:rPr>
                  </w:pPr>
                  <w:r>
                    <w:rPr>
                      <w:sz w:val="21"/>
                      <w:szCs w:val="21"/>
                    </w:rPr>
                    <w:t>4.本项目为清洁能源输送管道，属于</w:t>
                  </w:r>
                  <w:r>
                    <w:rPr>
                      <w:kern w:val="0"/>
                      <w:sz w:val="21"/>
                      <w:szCs w:val="21"/>
                      <w:lang w:bidi="ar"/>
                    </w:rPr>
                    <w:t>清洁能源的利用。</w:t>
                  </w:r>
                </w:p>
                <w:p>
                  <w:pPr>
                    <w:overflowPunct w:val="0"/>
                    <w:autoSpaceDE w:val="0"/>
                    <w:rPr>
                      <w:sz w:val="21"/>
                      <w:szCs w:val="21"/>
                    </w:rPr>
                  </w:pPr>
                </w:p>
              </w:tc>
              <w:tc>
                <w:tcPr>
                  <w:tcW w:w="315" w:type="pct"/>
                  <w:tcBorders>
                    <w:tl2br w:val="nil"/>
                    <w:tr2bl w:val="nil"/>
                  </w:tcBorders>
                  <w:vAlign w:val="center"/>
                </w:tcPr>
                <w:p>
                  <w:pPr>
                    <w:overflowPunct w:val="0"/>
                    <w:autoSpaceDE w:val="0"/>
                    <w:jc w:val="center"/>
                    <w:rPr>
                      <w:bCs/>
                      <w:sz w:val="21"/>
                      <w:szCs w:val="21"/>
                      <w:lang w:bidi="ar"/>
                    </w:rPr>
                  </w:pPr>
                  <w:r>
                    <w:rPr>
                      <w:bCs/>
                      <w:sz w:val="21"/>
                      <w:szCs w:val="21"/>
                      <w:lang w:bidi="ar"/>
                    </w:rPr>
                    <w:t>符合</w:t>
                  </w:r>
                </w:p>
              </w:tc>
            </w:tr>
          </w:tbl>
          <w:p>
            <w:pPr>
              <w:adjustRightInd w:val="0"/>
              <w:spacing w:before="120" w:beforeLines="50" w:line="360" w:lineRule="auto"/>
              <w:rPr>
                <w:b/>
                <w:bCs/>
                <w:lang w:bidi="ar"/>
              </w:rPr>
            </w:pPr>
            <w:r>
              <w:rPr>
                <w:b/>
                <w:bCs/>
                <w:lang w:bidi="ar"/>
              </w:rPr>
              <w:t>4与国务院关于印发《空气质量持续改善行动计划》的通知符合性分析</w:t>
            </w:r>
          </w:p>
          <w:p>
            <w:pPr>
              <w:spacing w:line="360" w:lineRule="auto"/>
              <w:ind w:firstLine="480" w:firstLineChars="200"/>
              <w:rPr>
                <w:lang w:bidi="ar"/>
              </w:rPr>
            </w:pPr>
            <w:r>
              <w:rPr>
                <w:lang w:bidi="ar"/>
              </w:rPr>
              <w:t>本项目建设地点不在行动计划的重点区域（京津冀及周边地区、长三角地区、汾渭平原）。项目属于天然气管道建设，建设符合“</w:t>
            </w:r>
            <w:r>
              <w:t>三、优化能源结构，加速能源清洁低碳高效发展，（九）大力发展新能源和清洁能源。到2025年，非化石能源消费比重达20%左右，电能占终端能源消费比重达30%左右。持续增加天然气生产供应，新增天然气优先保障居民生活和清洁取暖需求。”，因此本项目建设符合</w:t>
            </w:r>
            <w:r>
              <w:rPr>
                <w:lang w:bidi="ar"/>
              </w:rPr>
              <w:t>国务院关于印发《空气质量持续改善行动计划》中增加天然气供应的相关要求</w:t>
            </w:r>
          </w:p>
          <w:p>
            <w:pPr>
              <w:adjustRightInd w:val="0"/>
              <w:snapToGrid w:val="0"/>
              <w:spacing w:line="360" w:lineRule="auto"/>
              <w:rPr>
                <w:b/>
                <w:bCs/>
                <w:lang w:bidi="ar"/>
              </w:rPr>
            </w:pPr>
            <w:r>
              <w:rPr>
                <w:b/>
                <w:bCs/>
                <w:lang w:bidi="ar"/>
              </w:rPr>
              <w:t>5与关于印发《2020年挥发性有机物治理攻坚方案》的通知符合性分析</w:t>
            </w:r>
          </w:p>
          <w:p>
            <w:pPr>
              <w:spacing w:line="360" w:lineRule="auto"/>
              <w:ind w:firstLine="480" w:firstLineChars="200"/>
            </w:pPr>
            <w:r>
              <w:t>根据《2020年挥发性有机物治理攻坚方案》中“二、全面落实标准要求，强化无组织排放控制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处置单位在贮存、清洗、破碎等环节应按要求对VOCs无组织排放废气进行收集、处理。高VOCs含量废水的集输、储存和处理环节，应加盖密闭。企业中载有气态、液态VOCs物料的设备与管线组件密封点大于等于2000个的，应全面梳理建立台账，6-9月完成一轮泄漏检测与修复（LDAR）工作，及时修复泄漏源；石油炼制、石油化工、合成树脂企业严格按照排放标准要求开展LDAR工作，加强备用泵、在用泵、调节阀、搅拌器、开口管线等检测工作，强化质量控制；要将VOCs治理设施和储罐的密封点纳入检测计划中。”</w:t>
            </w:r>
          </w:p>
          <w:p>
            <w:pPr>
              <w:spacing w:line="360" w:lineRule="auto"/>
              <w:ind w:firstLine="480" w:firstLineChars="200"/>
            </w:pPr>
            <w:r>
              <w:t>本项目为天然气管道，在管道建设过程，各连接组件采用密封程度高的，管道检修前尽可能排空管道气体，并做好收集措施，从源头减少挥发性有机物的产生。符合《2020年挥发性有机物治理攻坚方案》的要求。</w:t>
            </w:r>
          </w:p>
          <w:p>
            <w:pPr>
              <w:adjustRightInd w:val="0"/>
              <w:snapToGrid w:val="0"/>
              <w:spacing w:line="360" w:lineRule="auto"/>
              <w:rPr>
                <w:b/>
                <w:bCs/>
                <w:lang w:bidi="ar"/>
              </w:rPr>
            </w:pPr>
            <w:r>
              <w:rPr>
                <w:b/>
                <w:bCs/>
                <w:lang w:bidi="ar"/>
              </w:rPr>
              <w:t>5与关于印发《重点行业挥发性有机物综合治理方案》的通知符合性分析</w:t>
            </w:r>
          </w:p>
          <w:p>
            <w:pPr>
              <w:spacing w:line="360" w:lineRule="auto"/>
              <w:ind w:firstLine="480" w:firstLineChars="200"/>
              <w:rPr>
                <w:b/>
                <w:bCs/>
                <w:lang w:bidi="ar"/>
              </w:rPr>
            </w:pPr>
            <w:r>
              <w:t>本项目为天然气管道建设项目，本身不产生废气，但是管道组件处不可避免的一定程度</w:t>
            </w:r>
            <w:r>
              <w:rPr>
                <w:rFonts w:hint="eastAsia"/>
                <w:lang w:eastAsia="zh-CN"/>
              </w:rPr>
              <w:t>泄漏</w:t>
            </w:r>
            <w:r>
              <w:t>气体，根据</w:t>
            </w:r>
            <w:r>
              <w:rPr>
                <w:b/>
                <w:bCs/>
                <w:lang w:bidi="ar"/>
              </w:rPr>
              <w:t>《</w:t>
            </w:r>
            <w:r>
              <w:t>重点行业挥发性有机物综合治理方案》中的“（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的要求。本项目的管道组件、采用密封程度高的，符合</w:t>
            </w:r>
            <w:r>
              <w:rPr>
                <w:b/>
                <w:bCs/>
                <w:lang w:bidi="ar"/>
              </w:rPr>
              <w:t>《</w:t>
            </w:r>
            <w:r>
              <w:t>重点行业挥发性有机物综合治理方案》输送环节控制思路的要求。</w:t>
            </w:r>
          </w:p>
          <w:p>
            <w:pPr>
              <w:adjustRightInd w:val="0"/>
              <w:snapToGrid w:val="0"/>
              <w:spacing w:line="360" w:lineRule="auto"/>
              <w:rPr>
                <w:b/>
                <w:bCs/>
                <w:lang w:bidi="ar"/>
              </w:rPr>
            </w:pPr>
            <w:r>
              <w:rPr>
                <w:b/>
                <w:bCs/>
                <w:lang w:bidi="ar"/>
              </w:rPr>
              <w:t>7与国务院关于印发《“十四五”节能减排综合工作方案》的通知符合性分析</w:t>
            </w:r>
          </w:p>
          <w:p>
            <w:pPr>
              <w:adjustRightInd w:val="0"/>
              <w:snapToGrid w:val="0"/>
              <w:spacing w:line="360" w:lineRule="auto"/>
              <w:ind w:firstLine="480" w:firstLineChars="200"/>
              <w:rPr>
                <w:lang w:bidi="ar"/>
              </w:rPr>
            </w:pPr>
            <w:r>
              <w:rPr>
                <w:lang w:bidi="ar"/>
              </w:rPr>
              <w:t>本项目为管道建设项目，不属于“两高”项目，符合</w:t>
            </w:r>
            <w:r>
              <w:rPr>
                <w:b/>
                <w:bCs/>
                <w:lang w:bidi="ar"/>
              </w:rPr>
              <w:t>《“十四五”节能减排综合工作方案》中“</w:t>
            </w:r>
            <w:r>
              <w:rPr>
                <w:lang w:bidi="ar"/>
              </w:rPr>
              <w:t>（三）坚决遏制高耗能高排放项目盲目发展。根据国家产业规划、产业政策、节能审查、环境影响评价审批等政策规定，对在建、拟建、建成的高耗能高排放项目（以下称“两高”项目）开展评估检查，建立工作清单，明确处置意见，严禁违规“两高”项目建设、运行，坚决拿下不符合要求的“两高”项目。加强对“两高”项目节能审查、环境影响评价审批程序和结果执行的监督评估，对审批能力不适应的依法依规调整上收审批权。对年综合能耗5万吨标准煤及以上的“两高”项目加强工作指导。严肃财经纪律，指导金融机构完善“两高”项目融资政策。”的相关要求。</w:t>
            </w:r>
          </w:p>
          <w:p>
            <w:pPr>
              <w:adjustRightInd w:val="0"/>
              <w:snapToGrid w:val="0"/>
              <w:spacing w:line="360" w:lineRule="auto"/>
              <w:rPr>
                <w:b/>
                <w:bCs/>
                <w:lang w:bidi="ar"/>
              </w:rPr>
            </w:pPr>
            <w:r>
              <w:rPr>
                <w:b/>
                <w:bCs/>
                <w:lang w:bidi="ar"/>
              </w:rPr>
              <w:t>8与关于印发《新疆维吾尔自治区“十三五”挥发性有机物污染防治实施方案》的通知符合性分析</w:t>
            </w:r>
          </w:p>
          <w:p>
            <w:pPr>
              <w:adjustRightInd w:val="0"/>
              <w:snapToGrid w:val="0"/>
              <w:spacing w:line="360" w:lineRule="auto"/>
              <w:ind w:firstLine="480" w:firstLineChars="200"/>
              <w:rPr>
                <w:lang w:bidi="ar"/>
              </w:rPr>
            </w:pPr>
            <w:r>
              <w:t>根据《关于印发新疆维吾尔自治区“十三五”挥发性有机物污染防治实施方案的通知》（新环发【2018】74号），</w:t>
            </w:r>
            <w:r>
              <w:rPr>
                <w:lang w:bidi="ar"/>
              </w:rPr>
              <w:t>“1.</w:t>
            </w:r>
            <w:r>
              <w:rPr>
                <w:rFonts w:hint="eastAsia"/>
                <w:lang w:eastAsia="zh-CN" w:bidi="ar"/>
              </w:rPr>
              <w:t>大力加快</w:t>
            </w:r>
            <w:r>
              <w:rPr>
                <w:lang w:bidi="ar"/>
              </w:rPr>
              <w:t>推进“散乱污”企业综合整治。结合第二次全国污染源普查，继续推进“散乱污”企业排查、整治工作，建立涉VOCs排放的企业管理台账，实施分类处置。</w:t>
            </w:r>
          </w:p>
          <w:p>
            <w:pPr>
              <w:numPr>
                <w:ilvl w:val="0"/>
                <w:numId w:val="4"/>
              </w:numPr>
              <w:adjustRightInd w:val="0"/>
              <w:snapToGrid w:val="0"/>
              <w:spacing w:line="360" w:lineRule="auto"/>
              <w:ind w:firstLine="480" w:firstLineChars="200"/>
            </w:pPr>
            <w:r>
              <w:rPr>
                <w:lang w:bidi="ar"/>
              </w:rPr>
              <w:t>严格建设项目环境准入。提高VOCs排放重点行业环保准入门槛，严格控制新增污染物排放量。“乌一昌一石”“奎一独一乌”区域及O3浓度超标地区严格限制石化、化工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r>
              <w:t>”</w:t>
            </w:r>
          </w:p>
          <w:p>
            <w:pPr>
              <w:adjustRightInd w:val="0"/>
              <w:snapToGrid w:val="0"/>
              <w:spacing w:line="360" w:lineRule="auto"/>
              <w:ind w:firstLine="480" w:firstLineChars="200"/>
            </w:pPr>
            <w:r>
              <w:t>本项目为天然气管道，不属于工业本身不产生废气，不属于上述“</w:t>
            </w:r>
            <w:r>
              <w:rPr>
                <w:lang w:bidi="ar"/>
              </w:rPr>
              <w:t>乌一昌一石”“奎一独一乌”严格限制石化、化工等高VOCs排放建设项目”</w:t>
            </w:r>
            <w:r>
              <w:t>，限制地区和限制项目，项目符合</w:t>
            </w:r>
            <w:r>
              <w:rPr>
                <w:lang w:bidi="ar"/>
              </w:rPr>
              <w:t>关于印发《新疆维吾尔自治区“十三五”挥发性有机物污染防治实施方案》的通知的</w:t>
            </w:r>
            <w:r>
              <w:t>要求。</w:t>
            </w:r>
          </w:p>
          <w:p>
            <w:pPr>
              <w:adjustRightInd w:val="0"/>
              <w:snapToGrid w:val="0"/>
              <w:spacing w:line="360" w:lineRule="auto"/>
              <w:rPr>
                <w:b/>
                <w:bCs/>
              </w:rPr>
            </w:pPr>
            <w:r>
              <w:rPr>
                <w:b/>
                <w:bCs/>
              </w:rPr>
              <w:t>9项目与《工业料堆场扬尘整治规范》符合性分析。</w:t>
            </w:r>
          </w:p>
          <w:p>
            <w:pPr>
              <w:adjustRightInd w:val="0"/>
              <w:snapToGrid w:val="0"/>
              <w:spacing w:line="360" w:lineRule="auto"/>
              <w:ind w:firstLine="480" w:firstLineChars="200"/>
              <w:rPr>
                <w:lang w:bidi="ar"/>
              </w:rPr>
            </w:pPr>
            <w:r>
              <w:t>根据规范的表1中的工业料堆场类型划分，项目属于Ⅱ类料堆场，项目土料堆场防治措施采取覆盖防尘布、防尘网、洒水以及压实等措施，符合Ⅱ类料堆场的防治措施“（a）喷洒水、b）覆盖、c）喷洒抑尘剂、d）干雾抑尘）”。因此，项目符合《工业料堆场扬尘整治规范》相关要求。</w:t>
            </w:r>
          </w:p>
          <w:p>
            <w:pPr>
              <w:adjustRightInd w:val="0"/>
              <w:snapToGrid w:val="0"/>
              <w:spacing w:line="360" w:lineRule="auto"/>
              <w:rPr>
                <w:b/>
                <w:bCs/>
                <w:lang w:bidi="ar"/>
              </w:rPr>
            </w:pPr>
            <w:r>
              <w:rPr>
                <w:b/>
                <w:bCs/>
                <w:lang w:bidi="ar"/>
              </w:rPr>
              <w:t>10与《喀什地区国民经济和社会发展第十四个五年规划和2035年远景目标纲要》符合性分析</w:t>
            </w:r>
          </w:p>
          <w:p>
            <w:pPr>
              <w:adjustRightInd w:val="0"/>
              <w:snapToGrid w:val="0"/>
              <w:spacing w:line="360" w:lineRule="auto"/>
              <w:ind w:firstLine="480" w:firstLineChars="200"/>
              <w:rPr>
                <w:lang w:bidi="ar"/>
              </w:rPr>
            </w:pPr>
            <w:r>
              <w:rPr>
                <w:lang w:bidi="ar"/>
              </w:rPr>
              <w:t>本项目属于清洁能源的输送管道，项目建设有利于《喀什地区国民经济和社会发展第十四个五年规划和2035年远景目标纲要》中生态文明建设实现新进步—“国土空间开发保护格局得到优化，“三高”项目零增长，生产生活方式绿色转型成效明显，空气质量优良天数持续增加，主要污染物排放量控制在自治区下达指标内，能源资源开发利用效率大幅提升，能耗和水资源消耗、建设用地总量得到有效控制，生态保护和修复机制基本形成，城乡人居环境明显改善，喀什的天更蓝、山更绿、水更清。”目标的实现。项目建设符合《喀什地区国民经济和社会发展第十四个五年规划和2035年远景目标纲要》相关要求。</w:t>
            </w:r>
          </w:p>
          <w:p>
            <w:pPr>
              <w:adjustRightInd w:val="0"/>
              <w:snapToGrid w:val="0"/>
              <w:spacing w:line="360" w:lineRule="auto"/>
              <w:rPr>
                <w:b/>
                <w:bCs/>
                <w:color w:val="0000FF"/>
                <w:lang w:bidi="ar"/>
              </w:rPr>
            </w:pPr>
            <w:r>
              <w:rPr>
                <w:b/>
                <w:color w:val="0000FF"/>
              </w:rPr>
              <w:t>11</w:t>
            </w:r>
            <w:r>
              <w:rPr>
                <w:b/>
                <w:bCs/>
                <w:color w:val="0000FF"/>
                <w:lang w:bidi="ar"/>
              </w:rPr>
              <w:t>与《</w:t>
            </w:r>
            <w:r>
              <w:rPr>
                <w:rFonts w:hint="eastAsia"/>
                <w:b/>
                <w:bCs/>
                <w:color w:val="0000FF"/>
                <w:lang w:bidi="ar"/>
              </w:rPr>
              <w:t>新疆生态环境保护“十四五”规划</w:t>
            </w:r>
            <w:r>
              <w:rPr>
                <w:b/>
                <w:bCs/>
                <w:color w:val="0000FF"/>
                <w:lang w:bidi="ar"/>
              </w:rPr>
              <w:t>》符合性分析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color w:val="0000FF"/>
                <w:lang w:val="en-US"/>
              </w:rPr>
            </w:pPr>
            <w:r>
              <w:rPr>
                <w:rFonts w:hint="eastAsia"/>
                <w:b/>
                <w:color w:val="0000FF"/>
              </w:rPr>
              <w:t>《</w:t>
            </w:r>
            <w:r>
              <w:rPr>
                <w:rFonts w:hint="eastAsia" w:ascii="Times New Roman" w:hAnsi="Times New Roman" w:eastAsia="宋体" w:cs="Times New Roman"/>
                <w:b w:val="0"/>
                <w:bCs/>
                <w:color w:val="0000FF"/>
                <w:lang w:val="en-US" w:eastAsia="zh-CN"/>
              </w:rPr>
              <w:t>新疆生态环境保护“十四五”规划》</w:t>
            </w:r>
            <w:r>
              <w:rPr>
                <w:rFonts w:hint="eastAsia"/>
                <w:b w:val="0"/>
                <w:bCs/>
                <w:color w:val="0000FF"/>
                <w:lang w:val="en-US" w:eastAsia="zh-CN"/>
              </w:rPr>
              <w:t>中“第三章坚持创新引领，推动绿色低碳发展  第四节构建绿色交通运输体系  加快货物运输绿色转型。大力推广“公转铁”运输组织模式，力争长距离公路货物运输量占比逐年递减，铁路发送量占比持续增加。推进重点工业企业和工业园区的原辅材料及产品由公路运输向铁路运输转移，降低大宗货物公路运输比重，减少重型柴油车使用强度。持续强化货运车辆燃油消耗量限值标准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color w:val="0000FF"/>
                <w:lang w:val="en-US" w:eastAsia="zh-CN"/>
              </w:rPr>
            </w:pPr>
            <w:r>
              <w:rPr>
                <w:rFonts w:hint="eastAsia"/>
                <w:b w:val="0"/>
                <w:bCs/>
                <w:color w:val="0000FF"/>
                <w:lang w:val="en-US" w:eastAsia="zh-CN"/>
              </w:rPr>
              <w:t>本项目</w:t>
            </w:r>
            <w:r>
              <w:rPr>
                <w:color w:val="0000FF"/>
                <w:kern w:val="21"/>
              </w:rPr>
              <w:t>航空货运区建设项目</w:t>
            </w:r>
            <w:r>
              <w:rPr>
                <w:rFonts w:hint="eastAsia"/>
                <w:color w:val="0000FF"/>
                <w:kern w:val="21"/>
                <w:lang w:eastAsia="zh-CN"/>
              </w:rPr>
              <w:t>，根据《产业结构调整指导目录》(2024年)属于鼓励类</w:t>
            </w:r>
            <w:r>
              <w:rPr>
                <w:rFonts w:hint="eastAsia"/>
                <w:color w:val="0000FF"/>
                <w:kern w:val="21"/>
                <w:lang w:val="en-US" w:eastAsia="zh-CN"/>
              </w:rPr>
              <w:t>项目，本项目的设立将加快喀什地区</w:t>
            </w:r>
            <w:r>
              <w:rPr>
                <w:color w:val="0000FF"/>
                <w:kern w:val="21"/>
              </w:rPr>
              <w:t>航空货运</w:t>
            </w:r>
            <w:r>
              <w:rPr>
                <w:rFonts w:hint="eastAsia"/>
                <w:color w:val="0000FF"/>
                <w:kern w:val="21"/>
                <w:lang w:val="en-US" w:eastAsia="zh-CN"/>
              </w:rPr>
              <w:t>能力的进一步提高，因此符合《喀什地区生态环境保护“十四五”规划》中相关要求。</w:t>
            </w:r>
          </w:p>
          <w:p>
            <w:pPr>
              <w:adjustRightInd w:val="0"/>
              <w:snapToGrid w:val="0"/>
              <w:spacing w:line="360" w:lineRule="auto"/>
              <w:rPr>
                <w:b/>
                <w:bCs/>
                <w:color w:val="0000FF"/>
                <w:lang w:bidi="ar"/>
              </w:rPr>
            </w:pPr>
            <w:r>
              <w:rPr>
                <w:b/>
                <w:color w:val="0000FF"/>
              </w:rPr>
              <w:t>1</w:t>
            </w:r>
            <w:r>
              <w:rPr>
                <w:rFonts w:hint="eastAsia"/>
                <w:b/>
                <w:color w:val="0000FF"/>
                <w:lang w:val="en-US" w:eastAsia="zh-CN"/>
              </w:rPr>
              <w:t>2</w:t>
            </w:r>
            <w:r>
              <w:rPr>
                <w:b/>
                <w:bCs/>
                <w:color w:val="0000FF"/>
                <w:lang w:bidi="ar"/>
              </w:rPr>
              <w:t>与《</w:t>
            </w:r>
            <w:r>
              <w:rPr>
                <w:rFonts w:hint="eastAsia"/>
                <w:b/>
                <w:bCs/>
                <w:color w:val="0000FF"/>
                <w:lang w:bidi="ar"/>
              </w:rPr>
              <w:t>喀什地区生态环境保护“十四五”规划</w:t>
            </w:r>
            <w:r>
              <w:rPr>
                <w:b/>
                <w:bCs/>
                <w:color w:val="0000FF"/>
                <w:lang w:bidi="ar"/>
              </w:rPr>
              <w:t>》符合性分析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color w:val="0000FF"/>
                <w:lang w:val="en-US" w:eastAsia="zh-CN"/>
              </w:rPr>
            </w:pPr>
            <w:r>
              <w:rPr>
                <w:rFonts w:hint="eastAsia"/>
                <w:b w:val="0"/>
                <w:bCs/>
                <w:color w:val="0000FF"/>
              </w:rPr>
              <w:t>《喀什地区生态环境保护“十四五”规划》</w:t>
            </w:r>
            <w:r>
              <w:rPr>
                <w:rFonts w:hint="eastAsia"/>
                <w:b w:val="0"/>
                <w:bCs/>
                <w:color w:val="0000FF"/>
                <w:lang w:val="en-US" w:eastAsia="zh-CN"/>
              </w:rPr>
              <w:t>中“第三章 坚持创新引领，推动绿色低碳发展 第四节 构建绿色交通运输体系  加快货物运输绿色转型。大力推广“公转铁”运输组织模式，力争长距离公路货物运输量占比逐年递减，铁路发送量占比持续增加。推进重点工业企业和工业园区的原辅材料及产品由公路运输向铁路运输转移，降低大宗货物公路运输比重，减少重型柴油车使用强度。持续强化货运车辆燃油消耗量限值标准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b/>
                <w:color w:val="0000FF"/>
                <w:lang w:val="en-US" w:eastAsia="zh-CN"/>
              </w:rPr>
            </w:pPr>
            <w:r>
              <w:rPr>
                <w:rFonts w:hint="eastAsia"/>
                <w:b w:val="0"/>
                <w:bCs/>
                <w:color w:val="0000FF"/>
                <w:lang w:val="en-US" w:eastAsia="zh-CN"/>
              </w:rPr>
              <w:t>本项目</w:t>
            </w:r>
            <w:r>
              <w:rPr>
                <w:color w:val="0000FF"/>
                <w:kern w:val="21"/>
              </w:rPr>
              <w:t>航空货运区建设项目</w:t>
            </w:r>
            <w:r>
              <w:rPr>
                <w:rFonts w:hint="eastAsia"/>
                <w:color w:val="0000FF"/>
                <w:kern w:val="21"/>
                <w:lang w:eastAsia="zh-CN"/>
              </w:rPr>
              <w:t>，根据《产业结构调整指导目录》(2024年)属于鼓励类</w:t>
            </w:r>
            <w:r>
              <w:rPr>
                <w:rFonts w:hint="eastAsia"/>
                <w:color w:val="0000FF"/>
                <w:kern w:val="21"/>
                <w:lang w:val="en-US" w:eastAsia="zh-CN"/>
              </w:rPr>
              <w:t>项目，本项目的设立将加快喀什地区</w:t>
            </w:r>
            <w:r>
              <w:rPr>
                <w:color w:val="0000FF"/>
                <w:kern w:val="21"/>
              </w:rPr>
              <w:t>航空货运</w:t>
            </w:r>
            <w:r>
              <w:rPr>
                <w:rFonts w:hint="eastAsia"/>
                <w:color w:val="0000FF"/>
                <w:kern w:val="21"/>
                <w:lang w:val="en-US" w:eastAsia="zh-CN"/>
              </w:rPr>
              <w:t>能力的进一步提高，因此符合《喀什地区生态环境保护“十四五”规划》中相关要求。</w:t>
            </w:r>
          </w:p>
          <w:p>
            <w:pPr>
              <w:adjustRightInd w:val="0"/>
              <w:snapToGrid w:val="0"/>
              <w:spacing w:line="360" w:lineRule="auto"/>
              <w:rPr>
                <w:b/>
                <w:bCs/>
                <w:lang w:bidi="ar"/>
              </w:rPr>
            </w:pPr>
            <w:r>
              <w:rPr>
                <w:b/>
              </w:rPr>
              <w:t>1</w:t>
            </w:r>
            <w:r>
              <w:rPr>
                <w:rFonts w:hint="eastAsia"/>
                <w:b/>
                <w:lang w:val="en-US" w:eastAsia="zh-CN"/>
              </w:rPr>
              <w:t>3</w:t>
            </w:r>
            <w:r>
              <w:rPr>
                <w:b/>
                <w:bCs/>
                <w:lang w:bidi="ar"/>
              </w:rPr>
              <w:t>与《喀什市国民经济和社会发展第十四个五年规划和2035 年远景目标纲要》符合性分析</w:t>
            </w:r>
          </w:p>
          <w:p>
            <w:pPr>
              <w:adjustRightInd w:val="0"/>
              <w:snapToGrid w:val="0"/>
              <w:spacing w:line="360" w:lineRule="auto"/>
              <w:ind w:firstLine="480" w:firstLineChars="200"/>
              <w:rPr>
                <w:lang w:bidi="ar"/>
              </w:rPr>
            </w:pPr>
            <w:r>
              <w:rPr>
                <w:lang w:bidi="ar"/>
              </w:rPr>
              <w:t>项目建设符合《喀什市国民经济和社会发展第十四个五年规划和2035 年远景目标纲要》（以下简称目标纲要）中第六篇—补短板强弱项 夯实发展基础支撑—第三章 加强能源设施建设中的“二是加快燃气设施建设。完善喀什市城乡天然气管网输配体系，推进乡村天然气管线建设。”相关要求。本项目属于清洁能源，项目的建设与目标纲要中第九篇—加快生态文明建设 打造美丽喀什—第二章 持续推进污染防治，“以提高环境质量为核心，实行最严格的环境保护制度，形成政府、企业、公众共治的环境治理体系，深入实施大气、水、土壤污染防治行动计划，全面改善喀什市环境质量。一是打好蓝天保卫战。全面实施大气污染防治行动计划，严格控制大气污染物新增排放量，强力开展喀什区域空气质量环境整治”的理念相符，相对于传统能源的使用，本项目建设后使用可以一定程度减少大气污染的排放，因此项目建设符合《喀什市国民经济和社会发展第十四个五年规划和2035 年远景目标纲要》中相关要求。</w:t>
            </w:r>
          </w:p>
          <w:p>
            <w:pPr>
              <w:adjustRightInd w:val="0"/>
              <w:spacing w:line="360" w:lineRule="auto"/>
              <w:jc w:val="left"/>
              <w:rPr>
                <w:b/>
                <w:bCs/>
                <w:spacing w:val="6"/>
              </w:rPr>
            </w:pPr>
            <w:r>
              <w:rPr>
                <w:b/>
                <w:bCs/>
                <w:spacing w:val="6"/>
                <w:lang w:bidi="ar"/>
              </w:rPr>
              <w:t>1</w:t>
            </w:r>
            <w:r>
              <w:rPr>
                <w:rFonts w:hint="eastAsia"/>
                <w:b/>
                <w:bCs/>
                <w:spacing w:val="6"/>
                <w:lang w:val="en-US" w:eastAsia="zh-CN" w:bidi="ar"/>
              </w:rPr>
              <w:t>4</w:t>
            </w:r>
            <w:r>
              <w:rPr>
                <w:b/>
                <w:bCs/>
                <w:spacing w:val="6"/>
                <w:lang w:bidi="ar"/>
              </w:rPr>
              <w:t>与新疆主体功能区划的符合性分析</w:t>
            </w:r>
          </w:p>
          <w:p>
            <w:pPr>
              <w:pStyle w:val="19"/>
              <w:widowControl w:val="0"/>
              <w:autoSpaceDE w:val="0"/>
              <w:autoSpaceDN w:val="0"/>
              <w:spacing w:before="0" w:beforeAutospacing="0" w:after="0" w:afterAutospacing="0" w:line="360" w:lineRule="auto"/>
              <w:ind w:firstLine="480"/>
              <w:jc w:val="both"/>
              <w:rPr>
                <w:rFonts w:ascii="Times New Roman" w:hAnsi="Times New Roman"/>
                <w:szCs w:val="24"/>
              </w:rPr>
            </w:pPr>
            <w:r>
              <w:rPr>
                <w:rFonts w:ascii="Times New Roman" w:hAnsi="Times New Roman"/>
                <w:szCs w:val="24"/>
                <w:lang w:bidi="ar"/>
              </w:rPr>
              <w:t>根据主体功能区开发的理念，结合新疆独特的自然地理状况和新时期发展的需要，本规划将新疆国土空间划分为重点开发、限制开发和禁止开发区域；按开发内容，分为城市化地区、农产品主产区和重点生态功能区；按层级，包括国家和自治区两个层面。</w:t>
            </w:r>
          </w:p>
          <w:p>
            <w:pPr>
              <w:pStyle w:val="19"/>
              <w:widowControl w:val="0"/>
              <w:autoSpaceDE w:val="0"/>
              <w:autoSpaceDN w:val="0"/>
              <w:spacing w:before="0" w:beforeAutospacing="0" w:after="0" w:afterAutospacing="0" w:line="360" w:lineRule="auto"/>
              <w:ind w:firstLine="480"/>
              <w:rPr>
                <w:rFonts w:ascii="Times New Roman" w:hAnsi="Times New Roman"/>
                <w:szCs w:val="24"/>
              </w:rPr>
            </w:pPr>
            <w:r>
              <w:rPr>
                <w:rFonts w:ascii="Times New Roman" w:hAnsi="Times New Roman"/>
                <w:szCs w:val="24"/>
                <w:lang w:bidi="ar"/>
              </w:rPr>
              <w:t>新疆的主体功能区划中，重点开发区域和限制开发区域覆盖国土全域，而禁止开发区域镶嵌于重点开发区域或者限制开发区域内。</w:t>
            </w:r>
          </w:p>
          <w:p>
            <w:pPr>
              <w:pStyle w:val="19"/>
              <w:widowControl w:val="0"/>
              <w:autoSpaceDE w:val="0"/>
              <w:autoSpaceDN w:val="0"/>
              <w:spacing w:before="0" w:beforeAutospacing="0" w:after="0" w:afterAutospacing="0" w:line="360" w:lineRule="auto"/>
              <w:ind w:left="-602" w:firstLine="960" w:firstLineChars="400"/>
              <w:rPr>
                <w:rFonts w:ascii="Times New Roman" w:hAnsi="Times New Roman"/>
                <w:szCs w:val="24"/>
              </w:rPr>
            </w:pPr>
            <w:r>
              <w:rPr>
                <w:rFonts w:ascii="Times New Roman" w:hAnsi="Times New Roman"/>
                <w:szCs w:val="24"/>
                <w:lang w:bidi="ar"/>
              </w:rPr>
              <w:t>（1）重点开发区域</w:t>
            </w:r>
          </w:p>
          <w:p>
            <w:pPr>
              <w:pStyle w:val="19"/>
              <w:widowControl w:val="0"/>
              <w:autoSpaceDE w:val="0"/>
              <w:autoSpaceDN w:val="0"/>
              <w:spacing w:before="0" w:beforeAutospacing="0" w:after="0" w:afterAutospacing="0" w:line="360" w:lineRule="auto"/>
              <w:ind w:firstLine="480"/>
              <w:jc w:val="both"/>
              <w:rPr>
                <w:rFonts w:ascii="Times New Roman" w:hAnsi="Times New Roman"/>
                <w:szCs w:val="24"/>
              </w:rPr>
            </w:pPr>
            <w:r>
              <w:rPr>
                <w:rFonts w:ascii="Times New Roman" w:hAnsi="Times New Roman"/>
                <w:szCs w:val="24"/>
                <w:lang w:bidi="ar"/>
              </w:rPr>
              <w:t>新疆重点开发区域包括：国家层面重点开发区域主要指天山北坡城市或城区以及县市城关镇和重要工业园区，涉及23个县市，总面积65293.42km</w:t>
            </w:r>
            <w:r>
              <w:rPr>
                <w:rFonts w:ascii="Times New Roman" w:hAnsi="Times New Roman"/>
                <w:szCs w:val="24"/>
                <w:vertAlign w:val="superscript"/>
                <w:lang w:bidi="ar"/>
              </w:rPr>
              <w:t>2</w:t>
            </w:r>
            <w:r>
              <w:rPr>
                <w:rFonts w:ascii="Times New Roman" w:hAnsi="Times New Roman"/>
                <w:szCs w:val="24"/>
                <w:lang w:bidi="ar"/>
              </w:rPr>
              <w:t>。自治区层面重点开发区域主要指内点状分布的承载绿洲经济发展的县市城关镇和重要工业园区，涉及36个县市，总面积3800.38km</w:t>
            </w:r>
            <w:r>
              <w:rPr>
                <w:rFonts w:ascii="Times New Roman" w:hAnsi="Times New Roman"/>
                <w:szCs w:val="24"/>
                <w:vertAlign w:val="superscript"/>
                <w:lang w:bidi="ar"/>
              </w:rPr>
              <w:t>2</w:t>
            </w:r>
            <w:r>
              <w:rPr>
                <w:rFonts w:ascii="Times New Roman" w:hAnsi="Times New Roman"/>
                <w:szCs w:val="24"/>
                <w:lang w:bidi="ar"/>
              </w:rPr>
              <w:t>，占全区总面积的0.23%，总人口250.07万人(2009年)，占全区总人口的11.78%。</w:t>
            </w:r>
          </w:p>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表1-3    新疆重点开发区域范围</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543"/>
              <w:gridCol w:w="348"/>
              <w:gridCol w:w="4268"/>
              <w:gridCol w:w="836"/>
              <w:gridCol w:w="66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jc w:val="center"/>
              </w:trPr>
              <w:tc>
                <w:tcPr>
                  <w:tcW w:w="543"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等级</w:t>
                  </w:r>
                </w:p>
              </w:tc>
              <w:tc>
                <w:tcPr>
                  <w:tcW w:w="34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区域</w:t>
                  </w:r>
                </w:p>
              </w:tc>
              <w:tc>
                <w:tcPr>
                  <w:tcW w:w="426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覆盖范围</w:t>
                  </w:r>
                </w:p>
              </w:tc>
              <w:tc>
                <w:tcPr>
                  <w:tcW w:w="836"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面积(平方公里)</w:t>
                  </w:r>
                </w:p>
              </w:tc>
              <w:tc>
                <w:tcPr>
                  <w:tcW w:w="662"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2009年</w:t>
                  </w:r>
                </w:p>
                <w:p>
                  <w:pPr>
                    <w:pStyle w:val="19"/>
                    <w:widowControl w:val="0"/>
                    <w:autoSpaceDE w:val="0"/>
                    <w:autoSpaceDN w:val="0"/>
                    <w:spacing w:before="0" w:beforeAutospacing="0" w:after="0" w:afterAutospacing="0"/>
                    <w:jc w:val="center"/>
                    <w:rPr>
                      <w:rFonts w:ascii="Times New Roman" w:hAnsi="Times New Roman"/>
                      <w:b/>
                      <w:bCs/>
                      <w:sz w:val="21"/>
                      <w:szCs w:val="21"/>
                    </w:rPr>
                  </w:pPr>
                  <w:r>
                    <w:rPr>
                      <w:rFonts w:ascii="Times New Roman" w:hAnsi="Times New Roman"/>
                      <w:b/>
                      <w:bCs/>
                      <w:sz w:val="21"/>
                      <w:szCs w:val="21"/>
                      <w:lang w:bidi="ar"/>
                    </w:rPr>
                    <w:t>人口(万人)</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543"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国家级</w:t>
                  </w:r>
                </w:p>
              </w:tc>
              <w:tc>
                <w:tcPr>
                  <w:tcW w:w="34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天山北坡地区</w:t>
                  </w:r>
                </w:p>
              </w:tc>
              <w:tc>
                <w:tcPr>
                  <w:tcW w:w="426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乌鲁木齐市、克拉玛依市、石河子市、奎屯市、昌吉市、乌苏市、阜康市、五家渠市、博乐市、伊宁市、哈密市（城区）、吐鲁番市（城区）、鄯善县（鄯善镇）、托克逊县（托克逊镇）、奇台县（奇台镇）、吉木萨尔县（吉木萨尔镇）、呼图壁县（呼图壁镇）、玛纳斯县（玛纳斯镇）、沙湾县（三道河子镇）、精河县（精河镇）、伊宁县（吉里于孜镇）、察布查尔县（察布查尔镇）、霍城县（水定镇、清水河镇部分、霍尔果斯口岸）</w:t>
                  </w:r>
                </w:p>
              </w:tc>
              <w:tc>
                <w:tcPr>
                  <w:tcW w:w="836"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65293.42</w:t>
                  </w:r>
                </w:p>
              </w:tc>
              <w:tc>
                <w:tcPr>
                  <w:tcW w:w="662"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590.77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543" w:type="dxa"/>
                  <w:tcBorders>
                    <w:tl2br w:val="nil"/>
                    <w:tr2bl w:val="nil"/>
                  </w:tcBorders>
                  <w:shd w:val="clear" w:color="auto" w:fill="auto"/>
                  <w:vAlign w:val="center"/>
                </w:tcPr>
                <w:p>
                  <w:pPr>
                    <w:pStyle w:val="19"/>
                    <w:widowControl w:val="0"/>
                    <w:autoSpaceDE w:val="0"/>
                    <w:autoSpaceDN w:val="0"/>
                    <w:spacing w:before="0" w:beforeAutospacing="0" w:after="0" w:afterAutospacing="0"/>
                    <w:ind w:hanging="181"/>
                    <w:jc w:val="center"/>
                    <w:rPr>
                      <w:rFonts w:ascii="Times New Roman" w:hAnsi="Times New Roman"/>
                      <w:sz w:val="21"/>
                      <w:szCs w:val="21"/>
                    </w:rPr>
                  </w:pPr>
                  <w:r>
                    <w:rPr>
                      <w:rFonts w:ascii="Times New Roman" w:hAnsi="Times New Roman"/>
                      <w:sz w:val="21"/>
                      <w:szCs w:val="21"/>
                      <w:lang w:bidi="ar"/>
                    </w:rPr>
                    <w:t>自治区级</w:t>
                  </w:r>
                </w:p>
              </w:tc>
              <w:tc>
                <w:tcPr>
                  <w:tcW w:w="34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点状开发城镇</w:t>
                  </w:r>
                </w:p>
              </w:tc>
              <w:tc>
                <w:tcPr>
                  <w:tcW w:w="4268"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库尔勒市（城区）、尉犁县（尉犁镇）、轮台县（轮台镇）、库车县（库车镇）、拜城县（拜城镇）、新和县（新和镇）、沙雅县（沙雅镇）、阿克苏市（城区）、温宿县（温宿镇）、阿拉尔市（城区）、</w:t>
                  </w:r>
                  <w:r>
                    <w:rPr>
                      <w:rFonts w:ascii="Times New Roman" w:hAnsi="Times New Roman"/>
                      <w:sz w:val="21"/>
                      <w:szCs w:val="21"/>
                      <w:shd w:val="clear" w:color="auto" w:fill="BEBEBE" w:themeFill="background1" w:themeFillShade="BF"/>
                      <w:lang w:bidi="ar"/>
                    </w:rPr>
                    <w:t>喀什市</w:t>
                  </w:r>
                  <w:r>
                    <w:rPr>
                      <w:rFonts w:ascii="Times New Roman" w:hAnsi="Times New Roman"/>
                      <w:sz w:val="21"/>
                      <w:szCs w:val="21"/>
                      <w:lang w:bidi="ar"/>
                    </w:rPr>
                    <w:t>、阿图什市（城区）、疏附县（托克扎克镇）、疏勒县（疏勒镇）、和田市、和田县（巴格其镇）、巩留县（巩留镇）尼勒克县（尼勒克镇）、新源县（新源镇）、昭苏县（昭苏镇）、特克斯县（特克斯镇）、乌什县（乌什镇）、柯坪县（柯坪镇）、焉耆回族自治县（焉耆镇）、和静县（和静镇）、和硕县（特吾里克镇）、博湖县（博湖镇）、温泉县（博格达尔镇）、塔城市（城区）、额敏县（额敏镇）、托里县（托里镇）、裕民县（哈拉布拉镇）、和布克赛尔蒙古自治县（和布克赛尔镇）、巴里坤哈萨克自治县（巴里坤镇）、伊吾县（伊吾镇）、木垒哈萨克自治县（木垒镇）</w:t>
                  </w:r>
                </w:p>
              </w:tc>
              <w:tc>
                <w:tcPr>
                  <w:tcW w:w="836"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3800.38</w:t>
                  </w:r>
                </w:p>
              </w:tc>
              <w:tc>
                <w:tcPr>
                  <w:tcW w:w="662" w:type="dxa"/>
                  <w:tcBorders>
                    <w:tl2br w:val="nil"/>
                    <w:tr2bl w:val="nil"/>
                  </w:tcBorders>
                  <w:shd w:val="clear" w:color="auto" w:fill="auto"/>
                  <w:vAlign w:val="center"/>
                </w:tcPr>
                <w:p>
                  <w:pPr>
                    <w:pStyle w:val="19"/>
                    <w:widowControl w:val="0"/>
                    <w:autoSpaceDE w:val="0"/>
                    <w:autoSpaceDN w:val="0"/>
                    <w:spacing w:before="0" w:beforeAutospacing="0" w:after="0" w:afterAutospacing="0"/>
                    <w:jc w:val="center"/>
                    <w:rPr>
                      <w:rFonts w:ascii="Times New Roman" w:hAnsi="Times New Roman"/>
                      <w:sz w:val="21"/>
                      <w:szCs w:val="21"/>
                    </w:rPr>
                  </w:pPr>
                  <w:r>
                    <w:rPr>
                      <w:rFonts w:ascii="Times New Roman" w:hAnsi="Times New Roman"/>
                      <w:sz w:val="21"/>
                      <w:szCs w:val="21"/>
                      <w:lang w:bidi="ar"/>
                    </w:rPr>
                    <w:t>250.07</w:t>
                  </w:r>
                </w:p>
              </w:tc>
            </w:tr>
          </w:tbl>
          <w:p>
            <w:pPr>
              <w:widowControl/>
              <w:autoSpaceDE w:val="0"/>
              <w:spacing w:before="120" w:beforeLines="50" w:line="360" w:lineRule="auto"/>
              <w:ind w:firstLine="480" w:firstLineChars="200"/>
            </w:pPr>
            <w:r>
              <w:rPr>
                <w:lang w:bidi="ar"/>
              </w:rPr>
              <w:t>（2）限制开发区域</w:t>
            </w:r>
          </w:p>
          <w:p>
            <w:pPr>
              <w:widowControl/>
              <w:autoSpaceDE w:val="0"/>
              <w:spacing w:line="360" w:lineRule="auto"/>
              <w:ind w:firstLine="480" w:firstLineChars="200"/>
            </w:pPr>
            <w:r>
              <w:rPr>
                <w:lang w:bidi="ar"/>
              </w:rPr>
              <w:t>新疆限制开发区域主要分为：农产品主产区和重点生态功能区。</w:t>
            </w:r>
          </w:p>
          <w:p>
            <w:pPr>
              <w:widowControl/>
              <w:autoSpaceDE w:val="0"/>
              <w:spacing w:line="360" w:lineRule="auto"/>
              <w:ind w:firstLine="480" w:firstLineChars="200"/>
            </w:pPr>
            <w:r>
              <w:rPr>
                <w:lang w:bidi="ar"/>
              </w:rPr>
              <w:t>新疆国家级农产品主产区包括天山北坡主产区和天山南坡主产区，共涉及23个县市，总面积414265.55km</w:t>
            </w:r>
            <w:r>
              <w:rPr>
                <w:vertAlign w:val="superscript"/>
                <w:lang w:bidi="ar"/>
              </w:rPr>
              <w:t>2</w:t>
            </w:r>
            <w:r>
              <w:rPr>
                <w:lang w:bidi="ar"/>
              </w:rPr>
              <w:t>。其中天山北坡主产区涉及13个县市，这些农产品主产区县市的城区或城关镇及其境内的重要工业园区是国家级重点开发区域，但这些县市以享受国家农产品主产区的政策为主；天山南坡主产区涉及10个县市，这些农产品主产区县市的城区或城关镇和重要工业园区是自治区级的重点开发区域，但这些县市以享受国家农产品主产区的政策为主。</w:t>
            </w:r>
          </w:p>
          <w:p>
            <w:pPr>
              <w:widowControl/>
              <w:autoSpaceDE w:val="0"/>
              <w:spacing w:line="360" w:lineRule="auto"/>
              <w:ind w:firstLine="480" w:firstLineChars="200"/>
            </w:pPr>
            <w:r>
              <w:rPr>
                <w:lang w:bidi="ar"/>
              </w:rPr>
              <w:t>新疆重点生态功能区包括：三个国家级重点生态功能区（享受国家的重点生态功能区政策）阿尔泰山地森林草原生态功能区、塔里木河荒漠化防治生态功能区、阿尔金山草原荒漠化防治生态功能区。</w:t>
            </w:r>
          </w:p>
          <w:p>
            <w:pPr>
              <w:widowControl/>
              <w:autoSpaceDE w:val="0"/>
              <w:spacing w:line="360" w:lineRule="auto"/>
              <w:ind w:firstLine="480" w:firstLineChars="200"/>
            </w:pPr>
            <w:r>
              <w:rPr>
                <w:lang w:bidi="ar"/>
              </w:rPr>
              <w:t>（3）禁止开发区域</w:t>
            </w:r>
          </w:p>
          <w:p>
            <w:pPr>
              <w:widowControl/>
              <w:autoSpaceDE w:val="0"/>
              <w:spacing w:line="360" w:lineRule="auto"/>
              <w:ind w:firstLine="480" w:firstLineChars="200"/>
            </w:pPr>
            <w:r>
              <w:rPr>
                <w:lang w:bidi="ar"/>
              </w:rPr>
              <w:t>新疆禁止开发区域包括：国家层面禁止开发区域—国家级自然保护区、世界文化自然遗产、国家级风景名胜区、国家森林公园和国家地质公园。新疆国家层面禁止开发区域共44处，面积为138902.9km</w:t>
            </w:r>
            <w:r>
              <w:rPr>
                <w:vertAlign w:val="superscript"/>
                <w:lang w:bidi="ar"/>
              </w:rPr>
              <w:t>2</w:t>
            </w:r>
            <w:r>
              <w:rPr>
                <w:lang w:bidi="ar"/>
              </w:rPr>
              <w:t>，占全区面积的8.34%。自治区层面禁止开发区域—自治区级及以下各级各类自然文化资源保护区域、重要水源地、重要湿地、湿地公园、水产种质资源保护区及其他自治区人民政府根据需要确定的禁止开发区域。</w:t>
            </w:r>
            <w:r>
              <w:rPr>
                <w:rFonts w:hint="eastAsia"/>
                <w:lang w:eastAsia="zh-CN" w:bidi="ar"/>
              </w:rPr>
              <w:t>新疆维吾尔自治区</w:t>
            </w:r>
            <w:r>
              <w:rPr>
                <w:lang w:bidi="ar"/>
              </w:rPr>
              <w:t>级禁止开发区共63处，总面积为94789.47km</w:t>
            </w:r>
            <w:r>
              <w:rPr>
                <w:vertAlign w:val="superscript"/>
                <w:lang w:bidi="ar"/>
              </w:rPr>
              <w:t>2</w:t>
            </w:r>
            <w:r>
              <w:rPr>
                <w:lang w:bidi="ar"/>
              </w:rPr>
              <w:t>，占全区总面积的5.69%。</w:t>
            </w:r>
          </w:p>
          <w:p>
            <w:pPr>
              <w:widowControl/>
              <w:autoSpaceDE w:val="0"/>
              <w:spacing w:line="360" w:lineRule="auto"/>
              <w:ind w:firstLine="480" w:firstLineChars="200"/>
              <w:rPr>
                <w:b/>
                <w:bCs/>
              </w:rPr>
            </w:pPr>
            <w:r>
              <w:rPr>
                <w:lang w:bidi="ar"/>
              </w:rPr>
              <w:t>根据新疆维吾尔自治区主体功能区规划，本项目地处喀什市经济开发区，项目选址不在水源涵养区、地下水源、饮用水源、各类自然保护区、自然生态良好区域、风景名胜区和人群密集区等生态敏感区域，属于重点开发区域中的自治区级点状开发城镇，且本项目为喀什经济开发区综合保税区配套设施，符合新疆维吾尔自治区主体功能区规划。</w:t>
            </w:r>
          </w:p>
          <w:p>
            <w:pPr>
              <w:autoSpaceDE w:val="0"/>
              <w:autoSpaceDN w:val="0"/>
              <w:adjustRightInd w:val="0"/>
              <w:snapToGrid w:val="0"/>
              <w:rPr>
                <w:kern w:val="21"/>
              </w:rPr>
            </w:pPr>
          </w:p>
        </w:tc>
      </w:tr>
    </w:tbl>
    <w:p>
      <w:pPr>
        <w:spacing w:line="360" w:lineRule="auto"/>
        <w:outlineLvl w:val="0"/>
        <w:rPr>
          <w:rFonts w:eastAsia="黑体"/>
          <w:kern w:val="21"/>
          <w:sz w:val="30"/>
        </w:rPr>
        <w:sectPr>
          <w:pgSz w:w="11906" w:h="16838"/>
          <w:pgMar w:top="1701" w:right="1531" w:bottom="1701" w:left="1531" w:header="851" w:footer="1077" w:gutter="0"/>
          <w:pgNumType w:start="1"/>
          <w:cols w:space="720" w:num="1"/>
          <w:docGrid w:linePitch="312" w:charSpace="0"/>
        </w:sectPr>
      </w:pPr>
    </w:p>
    <w:p>
      <w:pPr>
        <w:pStyle w:val="19"/>
        <w:adjustRightInd w:val="0"/>
        <w:snapToGrid w:val="0"/>
        <w:spacing w:before="0" w:beforeAutospacing="0" w:after="0" w:afterAutospacing="0"/>
        <w:jc w:val="center"/>
        <w:outlineLvl w:val="0"/>
        <w:rPr>
          <w:rFonts w:ascii="Times New Roman" w:hAnsi="Times New Roman" w:eastAsia="黑体"/>
          <w:snapToGrid w:val="0"/>
          <w:kern w:val="21"/>
          <w:sz w:val="30"/>
          <w:szCs w:val="30"/>
        </w:rPr>
      </w:pPr>
      <w:r>
        <w:rPr>
          <w:rFonts w:ascii="Times New Roman" w:hAnsi="Times New Roman" w:eastAsia="黑体"/>
          <w:snapToGrid w:val="0"/>
          <w:kern w:val="21"/>
          <w:sz w:val="30"/>
          <w:szCs w:val="30"/>
        </w:rPr>
        <w:t>二、建设内容</w:t>
      </w:r>
    </w:p>
    <w:tbl>
      <w:tblPr>
        <w:tblStyle w:val="23"/>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0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0" w:type="dxa"/>
            <w:vAlign w:val="center"/>
          </w:tcPr>
          <w:p>
            <w:pPr>
              <w:adjustRightInd w:val="0"/>
              <w:snapToGrid w:val="0"/>
              <w:jc w:val="center"/>
              <w:rPr>
                <w:kern w:val="0"/>
              </w:rPr>
            </w:pPr>
            <w:r>
              <w:rPr>
                <w:kern w:val="0"/>
              </w:rPr>
              <w:t>地理位置</w:t>
            </w:r>
          </w:p>
        </w:tc>
        <w:tc>
          <w:tcPr>
            <w:tcW w:w="7774" w:type="dxa"/>
            <w:vAlign w:val="center"/>
          </w:tcPr>
          <w:p>
            <w:pPr>
              <w:spacing w:before="120" w:beforeLines="50" w:line="360" w:lineRule="auto"/>
              <w:ind w:firstLine="480" w:firstLineChars="200"/>
              <w:rPr>
                <w:rFonts w:hint="eastAsia" w:eastAsia="宋体"/>
                <w:bCs/>
                <w:lang w:eastAsia="zh-CN" w:bidi="ar"/>
              </w:rPr>
            </w:pPr>
            <w:r>
              <w:rPr>
                <w:bCs/>
                <w:lang w:bidi="ar"/>
              </w:rPr>
              <w:t>本项目位于喀什经济开发区内的综合保税区内，</w:t>
            </w:r>
            <w:r>
              <w:rPr>
                <w:kern w:val="21"/>
              </w:rPr>
              <w:t>航空货运区建设项目地理坐标76°01′58.922″E，39°33′4.4727″N；</w:t>
            </w:r>
            <w:r>
              <w:rPr>
                <w:rFonts w:eastAsiaTheme="minorEastAsia"/>
              </w:rPr>
              <w:t>燃气管道建设</w:t>
            </w:r>
            <w:r>
              <w:rPr>
                <w:rFonts w:hint="eastAsia" w:eastAsiaTheme="minorEastAsia"/>
                <w:lang w:eastAsia="zh-CN"/>
              </w:rPr>
              <w:t>项目</w:t>
            </w:r>
            <w:r>
              <w:rPr>
                <w:kern w:val="28"/>
                <w:lang w:bidi="ar"/>
              </w:rPr>
              <w:t>：</w:t>
            </w:r>
            <w:r>
              <w:rPr>
                <w:bCs/>
                <w:lang w:bidi="ar"/>
              </w:rPr>
              <w:t>起点为环园路已建输气管线，气源来气自环塔线，沿着环园路北侧自西向东敷设，</w:t>
            </w:r>
            <w:r>
              <w:rPr>
                <w:kern w:val="28"/>
                <w:lang w:bidi="ar"/>
              </w:rPr>
              <w:t>起点坐标：东经</w:t>
            </w:r>
            <w:r>
              <w:rPr>
                <w:lang w:bidi="ar"/>
              </w:rPr>
              <w:t>76°01′52.16″</w:t>
            </w:r>
            <w:r>
              <w:rPr>
                <w:kern w:val="28"/>
                <w:lang w:bidi="ar"/>
              </w:rPr>
              <w:t>，北纬</w:t>
            </w:r>
            <w:r>
              <w:rPr>
                <w:lang w:bidi="ar"/>
              </w:rPr>
              <w:t>39°33′26.36″，</w:t>
            </w:r>
            <w:r>
              <w:rPr>
                <w:bCs/>
                <w:lang w:bidi="ar"/>
              </w:rPr>
              <w:t>终点与夏木帕夏村已建输气管线交接，</w:t>
            </w:r>
            <w:r>
              <w:rPr>
                <w:lang w:bidi="ar"/>
              </w:rPr>
              <w:t>终点坐标：东经76°03′04.00″</w:t>
            </w:r>
            <w:r>
              <w:rPr>
                <w:kern w:val="28"/>
                <w:lang w:bidi="ar"/>
              </w:rPr>
              <w:t>，北纬</w:t>
            </w:r>
            <w:r>
              <w:rPr>
                <w:lang w:bidi="ar"/>
              </w:rPr>
              <w:t>，39°32′36.40″</w:t>
            </w:r>
            <w:r>
              <w:rPr>
                <w:kern w:val="28"/>
                <w:lang w:bidi="ar"/>
              </w:rPr>
              <w:t>。</w:t>
            </w:r>
            <w:r>
              <w:rPr>
                <w:bCs/>
                <w:lang w:bidi="ar"/>
              </w:rPr>
              <w:t>本工程起点、拐点、终点坐标详见表</w:t>
            </w:r>
            <w:r>
              <w:rPr>
                <w:rFonts w:hint="eastAsia"/>
                <w:bCs/>
                <w:lang w:val="en-US" w:eastAsia="zh-CN" w:bidi="ar"/>
              </w:rPr>
              <w:t>2</w:t>
            </w:r>
            <w:r>
              <w:rPr>
                <w:bCs/>
                <w:lang w:bidi="ar"/>
              </w:rPr>
              <w:t>-1</w:t>
            </w:r>
            <w:r>
              <w:rPr>
                <w:rFonts w:hint="eastAsia"/>
                <w:bCs/>
                <w:lang w:eastAsia="zh-CN" w:bidi="ar"/>
              </w:rPr>
              <w:t>。</w:t>
            </w:r>
          </w:p>
          <w:p>
            <w:pPr>
              <w:spacing w:line="360" w:lineRule="auto"/>
              <w:ind w:firstLine="480" w:firstLineChars="200"/>
              <w:rPr>
                <w:bCs/>
                <w:lang w:bidi="ar"/>
              </w:rPr>
            </w:pPr>
            <w:r>
              <w:rPr>
                <w:bCs/>
                <w:lang w:bidi="ar"/>
              </w:rPr>
              <w:t>具体项目区地理位置详见附图</w:t>
            </w:r>
            <w:r>
              <w:rPr>
                <w:rFonts w:hint="eastAsia"/>
                <w:bCs/>
                <w:lang w:val="en-US" w:eastAsia="zh-CN" w:bidi="ar"/>
              </w:rPr>
              <w:t>5</w:t>
            </w:r>
            <w:r>
              <w:rPr>
                <w:bCs/>
                <w:lang w:bidi="ar"/>
              </w:rPr>
              <w:t>，项目区卫星影像及周边关系</w:t>
            </w:r>
            <w:r>
              <w:rPr>
                <w:rFonts w:hint="eastAsia"/>
                <w:bCs/>
                <w:lang w:eastAsia="zh-CN" w:bidi="ar"/>
              </w:rPr>
              <w:t>见附图</w:t>
            </w:r>
            <w:r>
              <w:rPr>
                <w:bCs/>
                <w:lang w:bidi="ar"/>
              </w:rPr>
              <w:t>7-1，工程区工程走向及周边关系详见附图</w:t>
            </w:r>
            <w:r>
              <w:rPr>
                <w:rFonts w:hint="eastAsia"/>
                <w:bCs/>
                <w:lang w:val="en-US" w:eastAsia="zh-CN" w:bidi="ar"/>
              </w:rPr>
              <w:t>6</w:t>
            </w:r>
            <w:r>
              <w:rPr>
                <w:bCs/>
                <w:lang w:bidi="ar"/>
              </w:rPr>
              <w:t>-2。</w:t>
            </w:r>
          </w:p>
          <w:p>
            <w:pPr>
              <w:topLinePunct/>
              <w:jc w:val="center"/>
              <w:rPr>
                <w:sz w:val="21"/>
                <w:szCs w:val="21"/>
              </w:rPr>
            </w:pPr>
            <w:r>
              <w:rPr>
                <w:b/>
                <w:bCs/>
                <w:sz w:val="21"/>
                <w:szCs w:val="21"/>
                <w:lang w:bidi="ar"/>
              </w:rPr>
              <w:t>表2-1     管道坐标一览表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069"/>
              <w:gridCol w:w="2954"/>
              <w:gridCol w:w="283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1" w:hRule="atLeast"/>
                <w:jc w:val="center"/>
              </w:trPr>
              <w:tc>
                <w:tcPr>
                  <w:tcW w:w="1317" w:type="pct"/>
                  <w:tcBorders>
                    <w:tl2br w:val="nil"/>
                    <w:tr2bl w:val="nil"/>
                  </w:tcBorders>
                  <w:shd w:val="clear" w:color="auto" w:fill="auto"/>
                  <w:vAlign w:val="center"/>
                </w:tcPr>
                <w:p>
                  <w:pPr>
                    <w:topLinePunct/>
                    <w:jc w:val="center"/>
                    <w:rPr>
                      <w:b/>
                      <w:bCs/>
                      <w:sz w:val="21"/>
                      <w:szCs w:val="21"/>
                    </w:rPr>
                  </w:pPr>
                  <w:r>
                    <w:rPr>
                      <w:b/>
                      <w:bCs/>
                      <w:sz w:val="21"/>
                      <w:szCs w:val="21"/>
                      <w:lang w:bidi="ar"/>
                    </w:rPr>
                    <w:t>桩号</w:t>
                  </w:r>
                </w:p>
              </w:tc>
              <w:tc>
                <w:tcPr>
                  <w:tcW w:w="1880" w:type="pct"/>
                  <w:tcBorders>
                    <w:tl2br w:val="nil"/>
                    <w:tr2bl w:val="nil"/>
                  </w:tcBorders>
                  <w:shd w:val="clear" w:color="auto" w:fill="auto"/>
                  <w:vAlign w:val="center"/>
                </w:tcPr>
                <w:p>
                  <w:pPr>
                    <w:topLinePunct/>
                    <w:jc w:val="center"/>
                    <w:rPr>
                      <w:b/>
                      <w:bCs/>
                      <w:sz w:val="21"/>
                      <w:szCs w:val="21"/>
                    </w:rPr>
                  </w:pPr>
                  <w:r>
                    <w:rPr>
                      <w:b/>
                      <w:bCs/>
                      <w:sz w:val="21"/>
                      <w:szCs w:val="21"/>
                      <w:lang w:bidi="ar"/>
                    </w:rPr>
                    <w:t>X</w:t>
                  </w:r>
                </w:p>
              </w:tc>
              <w:tc>
                <w:tcPr>
                  <w:tcW w:w="1801" w:type="pct"/>
                  <w:tcBorders>
                    <w:tl2br w:val="nil"/>
                    <w:tr2bl w:val="nil"/>
                  </w:tcBorders>
                  <w:shd w:val="clear" w:color="auto" w:fill="auto"/>
                  <w:vAlign w:val="center"/>
                </w:tcPr>
                <w:p>
                  <w:pPr>
                    <w:topLinePunct/>
                    <w:jc w:val="center"/>
                    <w:rPr>
                      <w:b/>
                      <w:bCs/>
                      <w:sz w:val="21"/>
                      <w:szCs w:val="21"/>
                    </w:rPr>
                  </w:pPr>
                  <w:r>
                    <w:rPr>
                      <w:b/>
                      <w:bCs/>
                      <w:sz w:val="21"/>
                      <w:szCs w:val="21"/>
                      <w:lang w:bidi="ar"/>
                    </w:rPr>
                    <w:t>Y</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317" w:type="pct"/>
                  <w:tcBorders>
                    <w:tl2br w:val="nil"/>
                    <w:tr2bl w:val="nil"/>
                  </w:tcBorders>
                  <w:shd w:val="clear" w:color="auto" w:fill="auto"/>
                  <w:vAlign w:val="center"/>
                </w:tcPr>
                <w:p>
                  <w:pPr>
                    <w:jc w:val="center"/>
                    <w:rPr>
                      <w:sz w:val="21"/>
                      <w:szCs w:val="21"/>
                    </w:rPr>
                  </w:pPr>
                  <w:r>
                    <w:rPr>
                      <w:sz w:val="21"/>
                      <w:szCs w:val="21"/>
                      <w:lang w:bidi="ar"/>
                    </w:rPr>
                    <w:t>起点KA1+000</w:t>
                  </w:r>
                </w:p>
              </w:tc>
              <w:tc>
                <w:tcPr>
                  <w:tcW w:w="1880" w:type="pct"/>
                  <w:tcBorders>
                    <w:tl2br w:val="nil"/>
                    <w:tr2bl w:val="nil"/>
                  </w:tcBorders>
                  <w:shd w:val="clear" w:color="auto" w:fill="auto"/>
                  <w:vAlign w:val="center"/>
                </w:tcPr>
                <w:p>
                  <w:pPr>
                    <w:jc w:val="center"/>
                    <w:rPr>
                      <w:sz w:val="21"/>
                      <w:szCs w:val="21"/>
                    </w:rPr>
                  </w:pPr>
                  <w:r>
                    <w:rPr>
                      <w:sz w:val="21"/>
                      <w:szCs w:val="21"/>
                      <w:lang w:bidi="ar"/>
                    </w:rPr>
                    <w:t>4380330.179</w:t>
                  </w:r>
                </w:p>
              </w:tc>
              <w:tc>
                <w:tcPr>
                  <w:tcW w:w="1801" w:type="pct"/>
                  <w:tcBorders>
                    <w:tl2br w:val="nil"/>
                    <w:tr2bl w:val="nil"/>
                  </w:tcBorders>
                  <w:shd w:val="clear" w:color="auto" w:fill="auto"/>
                  <w:vAlign w:val="center"/>
                </w:tcPr>
                <w:p>
                  <w:pPr>
                    <w:jc w:val="center"/>
                    <w:rPr>
                      <w:sz w:val="21"/>
                      <w:szCs w:val="21"/>
                    </w:rPr>
                  </w:pPr>
                  <w:r>
                    <w:rPr>
                      <w:sz w:val="21"/>
                      <w:szCs w:val="21"/>
                      <w:lang w:bidi="ar"/>
                    </w:rPr>
                    <w:t>502600.256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317" w:type="pct"/>
                  <w:tcBorders>
                    <w:tl2br w:val="nil"/>
                    <w:tr2bl w:val="nil"/>
                  </w:tcBorders>
                  <w:shd w:val="clear" w:color="auto" w:fill="auto"/>
                  <w:vAlign w:val="center"/>
                </w:tcPr>
                <w:p>
                  <w:pPr>
                    <w:jc w:val="center"/>
                    <w:rPr>
                      <w:sz w:val="21"/>
                      <w:szCs w:val="21"/>
                      <w:lang w:bidi="ar"/>
                    </w:rPr>
                  </w:pPr>
                  <w:r>
                    <w:rPr>
                      <w:sz w:val="21"/>
                      <w:szCs w:val="21"/>
                      <w:lang w:bidi="ar"/>
                    </w:rPr>
                    <w:t>阀井KA1+016</w:t>
                  </w:r>
                </w:p>
              </w:tc>
              <w:tc>
                <w:tcPr>
                  <w:tcW w:w="1880" w:type="pct"/>
                  <w:tcBorders>
                    <w:tl2br w:val="nil"/>
                    <w:tr2bl w:val="nil"/>
                  </w:tcBorders>
                  <w:shd w:val="clear" w:color="auto" w:fill="auto"/>
                  <w:vAlign w:val="center"/>
                </w:tcPr>
                <w:p>
                  <w:pPr>
                    <w:jc w:val="center"/>
                    <w:rPr>
                      <w:sz w:val="21"/>
                      <w:szCs w:val="21"/>
                      <w:lang w:bidi="ar"/>
                    </w:rPr>
                  </w:pPr>
                  <w:r>
                    <w:rPr>
                      <w:sz w:val="21"/>
                      <w:szCs w:val="21"/>
                      <w:lang w:bidi="ar"/>
                    </w:rPr>
                    <w:t>4380325.544</w:t>
                  </w:r>
                </w:p>
              </w:tc>
              <w:tc>
                <w:tcPr>
                  <w:tcW w:w="1801" w:type="pct"/>
                  <w:tcBorders>
                    <w:tl2br w:val="nil"/>
                    <w:tr2bl w:val="nil"/>
                  </w:tcBorders>
                  <w:shd w:val="clear" w:color="auto" w:fill="auto"/>
                  <w:vAlign w:val="center"/>
                </w:tcPr>
                <w:p>
                  <w:pPr>
                    <w:jc w:val="center"/>
                    <w:rPr>
                      <w:sz w:val="21"/>
                      <w:szCs w:val="21"/>
                      <w:lang w:bidi="ar"/>
                    </w:rPr>
                  </w:pPr>
                  <w:r>
                    <w:rPr>
                      <w:sz w:val="21"/>
                      <w:szCs w:val="21"/>
                      <w:lang w:bidi="ar"/>
                    </w:rPr>
                    <w:t>502615.934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317" w:type="pct"/>
                  <w:tcBorders>
                    <w:tl2br w:val="nil"/>
                    <w:tr2bl w:val="nil"/>
                  </w:tcBorders>
                  <w:shd w:val="clear" w:color="auto" w:fill="auto"/>
                  <w:vAlign w:val="center"/>
                </w:tcPr>
                <w:p>
                  <w:pPr>
                    <w:jc w:val="center"/>
                    <w:rPr>
                      <w:sz w:val="21"/>
                      <w:szCs w:val="21"/>
                    </w:rPr>
                  </w:pPr>
                  <w:r>
                    <w:rPr>
                      <w:sz w:val="21"/>
                      <w:szCs w:val="21"/>
                      <w:lang w:bidi="ar"/>
                    </w:rPr>
                    <w:t>拐点KA1+890</w:t>
                  </w:r>
                </w:p>
              </w:tc>
              <w:tc>
                <w:tcPr>
                  <w:tcW w:w="1880" w:type="pct"/>
                  <w:tcBorders>
                    <w:tl2br w:val="nil"/>
                    <w:tr2bl w:val="nil"/>
                  </w:tcBorders>
                  <w:shd w:val="clear" w:color="auto" w:fill="auto"/>
                  <w:vAlign w:val="center"/>
                </w:tcPr>
                <w:p>
                  <w:pPr>
                    <w:widowControl/>
                    <w:jc w:val="center"/>
                    <w:textAlignment w:val="center"/>
                    <w:rPr>
                      <w:sz w:val="21"/>
                      <w:szCs w:val="21"/>
                    </w:rPr>
                  </w:pPr>
                  <w:r>
                    <w:rPr>
                      <w:sz w:val="21"/>
                      <w:szCs w:val="21"/>
                    </w:rPr>
                    <w:t>4379777.716</w:t>
                  </w:r>
                </w:p>
              </w:tc>
              <w:tc>
                <w:tcPr>
                  <w:tcW w:w="1801" w:type="pct"/>
                  <w:tcBorders>
                    <w:tl2br w:val="nil"/>
                    <w:tr2bl w:val="nil"/>
                  </w:tcBorders>
                  <w:shd w:val="clear" w:color="auto" w:fill="auto"/>
                  <w:vAlign w:val="center"/>
                </w:tcPr>
                <w:p>
                  <w:pPr>
                    <w:widowControl/>
                    <w:jc w:val="center"/>
                    <w:textAlignment w:val="center"/>
                    <w:rPr>
                      <w:sz w:val="21"/>
                      <w:szCs w:val="21"/>
                    </w:rPr>
                  </w:pPr>
                  <w:r>
                    <w:rPr>
                      <w:sz w:val="21"/>
                      <w:szCs w:val="21"/>
                    </w:rPr>
                    <w:t>504406.552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317" w:type="pct"/>
                  <w:tcBorders>
                    <w:tl2br w:val="nil"/>
                    <w:tr2bl w:val="nil"/>
                  </w:tcBorders>
                  <w:shd w:val="clear" w:color="auto" w:fill="auto"/>
                  <w:vAlign w:val="center"/>
                </w:tcPr>
                <w:p>
                  <w:pPr>
                    <w:jc w:val="center"/>
                    <w:rPr>
                      <w:sz w:val="21"/>
                      <w:szCs w:val="21"/>
                      <w:lang w:bidi="ar"/>
                    </w:rPr>
                  </w:pPr>
                  <w:r>
                    <w:rPr>
                      <w:sz w:val="21"/>
                      <w:szCs w:val="21"/>
                      <w:lang w:bidi="ar"/>
                    </w:rPr>
                    <w:t>拐点KA2+700</w:t>
                  </w:r>
                </w:p>
              </w:tc>
              <w:tc>
                <w:tcPr>
                  <w:tcW w:w="1880" w:type="pct"/>
                  <w:tcBorders>
                    <w:tl2br w:val="nil"/>
                    <w:tr2bl w:val="nil"/>
                  </w:tcBorders>
                  <w:shd w:val="clear" w:color="auto" w:fill="auto"/>
                  <w:vAlign w:val="center"/>
                </w:tcPr>
                <w:p>
                  <w:pPr>
                    <w:jc w:val="center"/>
                    <w:rPr>
                      <w:sz w:val="21"/>
                      <w:szCs w:val="21"/>
                      <w:lang w:bidi="ar"/>
                    </w:rPr>
                  </w:pPr>
                  <w:r>
                    <w:rPr>
                      <w:sz w:val="21"/>
                      <w:szCs w:val="21"/>
                      <w:lang w:bidi="ar"/>
                    </w:rPr>
                    <w:t>4378984.774</w:t>
                  </w:r>
                </w:p>
              </w:tc>
              <w:tc>
                <w:tcPr>
                  <w:tcW w:w="1801" w:type="pct"/>
                  <w:tcBorders>
                    <w:tl2br w:val="nil"/>
                    <w:tr2bl w:val="nil"/>
                  </w:tcBorders>
                  <w:shd w:val="clear" w:color="auto" w:fill="auto"/>
                  <w:vAlign w:val="center"/>
                </w:tcPr>
                <w:p>
                  <w:pPr>
                    <w:jc w:val="center"/>
                    <w:rPr>
                      <w:sz w:val="21"/>
                      <w:szCs w:val="21"/>
                      <w:lang w:bidi="ar"/>
                    </w:rPr>
                  </w:pPr>
                  <w:r>
                    <w:rPr>
                      <w:sz w:val="21"/>
                      <w:szCs w:val="21"/>
                      <w:lang w:bidi="ar"/>
                    </w:rPr>
                    <w:t>504494.883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317" w:type="pct"/>
                  <w:tcBorders>
                    <w:tl2br w:val="nil"/>
                    <w:tr2bl w:val="nil"/>
                  </w:tcBorders>
                  <w:shd w:val="clear" w:color="auto" w:fill="auto"/>
                  <w:vAlign w:val="center"/>
                </w:tcPr>
                <w:p>
                  <w:pPr>
                    <w:jc w:val="center"/>
                    <w:rPr>
                      <w:sz w:val="21"/>
                      <w:szCs w:val="21"/>
                      <w:lang w:bidi="ar"/>
                    </w:rPr>
                  </w:pPr>
                  <w:r>
                    <w:rPr>
                      <w:sz w:val="21"/>
                      <w:szCs w:val="21"/>
                      <w:lang w:bidi="ar"/>
                    </w:rPr>
                    <w:t>阀井KA2+916</w:t>
                  </w:r>
                </w:p>
              </w:tc>
              <w:tc>
                <w:tcPr>
                  <w:tcW w:w="1880" w:type="pct"/>
                  <w:tcBorders>
                    <w:tl2br w:val="nil"/>
                    <w:tr2bl w:val="nil"/>
                  </w:tcBorders>
                  <w:shd w:val="clear" w:color="auto" w:fill="auto"/>
                  <w:vAlign w:val="center"/>
                </w:tcPr>
                <w:p>
                  <w:pPr>
                    <w:jc w:val="center"/>
                    <w:rPr>
                      <w:sz w:val="21"/>
                      <w:szCs w:val="21"/>
                      <w:lang w:bidi="ar"/>
                    </w:rPr>
                  </w:pPr>
                  <w:r>
                    <w:rPr>
                      <w:sz w:val="21"/>
                      <w:szCs w:val="21"/>
                      <w:lang w:bidi="ar"/>
                    </w:rPr>
                    <w:t>4378834.774</w:t>
                  </w:r>
                </w:p>
              </w:tc>
              <w:tc>
                <w:tcPr>
                  <w:tcW w:w="1801" w:type="pct"/>
                  <w:tcBorders>
                    <w:tl2br w:val="nil"/>
                    <w:tr2bl w:val="nil"/>
                  </w:tcBorders>
                  <w:shd w:val="clear" w:color="auto" w:fill="auto"/>
                  <w:vAlign w:val="center"/>
                </w:tcPr>
                <w:p>
                  <w:pPr>
                    <w:jc w:val="center"/>
                    <w:rPr>
                      <w:sz w:val="21"/>
                      <w:szCs w:val="21"/>
                      <w:lang w:bidi="ar"/>
                    </w:rPr>
                  </w:pPr>
                  <w:r>
                    <w:rPr>
                      <w:sz w:val="21"/>
                      <w:szCs w:val="21"/>
                      <w:lang w:bidi="ar"/>
                    </w:rPr>
                    <w:t>504351.847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317" w:type="pct"/>
                  <w:tcBorders>
                    <w:tl2br w:val="nil"/>
                    <w:tr2bl w:val="nil"/>
                  </w:tcBorders>
                  <w:shd w:val="clear" w:color="auto" w:fill="auto"/>
                  <w:vAlign w:val="center"/>
                </w:tcPr>
                <w:p>
                  <w:pPr>
                    <w:jc w:val="center"/>
                    <w:rPr>
                      <w:sz w:val="21"/>
                      <w:szCs w:val="21"/>
                      <w:lang w:bidi="ar"/>
                    </w:rPr>
                  </w:pPr>
                  <w:r>
                    <w:rPr>
                      <w:sz w:val="21"/>
                      <w:szCs w:val="21"/>
                      <w:lang w:bidi="ar"/>
                    </w:rPr>
                    <w:t>终点KA2+994</w:t>
                  </w:r>
                </w:p>
              </w:tc>
              <w:tc>
                <w:tcPr>
                  <w:tcW w:w="1880" w:type="pct"/>
                  <w:tcBorders>
                    <w:tl2br w:val="nil"/>
                    <w:tr2bl w:val="nil"/>
                  </w:tcBorders>
                  <w:shd w:val="clear" w:color="auto" w:fill="auto"/>
                  <w:vAlign w:val="center"/>
                </w:tcPr>
                <w:p>
                  <w:pPr>
                    <w:jc w:val="center"/>
                    <w:rPr>
                      <w:sz w:val="21"/>
                      <w:szCs w:val="21"/>
                      <w:lang w:bidi="ar"/>
                    </w:rPr>
                  </w:pPr>
                  <w:r>
                    <w:rPr>
                      <w:sz w:val="21"/>
                      <w:szCs w:val="21"/>
                      <w:lang w:bidi="ar"/>
                    </w:rPr>
                    <w:t>4378774.217</w:t>
                  </w:r>
                </w:p>
              </w:tc>
              <w:tc>
                <w:tcPr>
                  <w:tcW w:w="1801" w:type="pct"/>
                  <w:tcBorders>
                    <w:tl2br w:val="nil"/>
                    <w:tr2bl w:val="nil"/>
                  </w:tcBorders>
                  <w:shd w:val="clear" w:color="auto" w:fill="auto"/>
                  <w:vAlign w:val="center"/>
                </w:tcPr>
                <w:p>
                  <w:pPr>
                    <w:jc w:val="center"/>
                    <w:rPr>
                      <w:sz w:val="21"/>
                      <w:szCs w:val="21"/>
                      <w:lang w:bidi="ar"/>
                    </w:rPr>
                  </w:pPr>
                  <w:r>
                    <w:rPr>
                      <w:sz w:val="21"/>
                      <w:szCs w:val="21"/>
                      <w:lang w:bidi="ar"/>
                    </w:rPr>
                    <w:t>504294.141</w:t>
                  </w:r>
                </w:p>
              </w:tc>
            </w:tr>
          </w:tbl>
          <w:p>
            <w:pPr>
              <w:adjustRightInd w:val="0"/>
              <w:snapToGrid w:val="0"/>
              <w:spacing w:line="360" w:lineRule="auto"/>
              <w:ind w:firstLine="480" w:firstLineChars="200"/>
              <w:rPr>
                <w:kern w:val="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0" w:type="dxa"/>
            <w:vAlign w:val="center"/>
          </w:tcPr>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项目组成及规模</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tc>
        <w:tc>
          <w:tcPr>
            <w:tcW w:w="7774" w:type="dxa"/>
            <w:vAlign w:val="center"/>
          </w:tcPr>
          <w:p>
            <w:pPr>
              <w:snapToGrid w:val="0"/>
              <w:spacing w:before="120" w:beforeLines="50" w:line="360" w:lineRule="auto"/>
              <w:rPr>
                <w:b/>
                <w:lang w:bidi="ar"/>
              </w:rPr>
            </w:pPr>
            <w:r>
              <w:rPr>
                <w:b/>
                <w:lang w:bidi="ar"/>
              </w:rPr>
              <w:t>1工程建设内容</w:t>
            </w:r>
          </w:p>
          <w:p>
            <w:pPr>
              <w:snapToGrid w:val="0"/>
              <w:spacing w:line="360" w:lineRule="auto"/>
              <w:ind w:firstLine="480" w:firstLineChars="200"/>
              <w:rPr>
                <w:bCs/>
                <w:lang w:bidi="ar"/>
              </w:rPr>
            </w:pPr>
            <w:r>
              <w:rPr>
                <w:bCs/>
                <w:lang w:bidi="ar"/>
              </w:rPr>
              <w:t>（1）燃气管道建设项目</w:t>
            </w:r>
          </w:p>
          <w:p>
            <w:pPr>
              <w:snapToGrid w:val="0"/>
              <w:spacing w:line="360" w:lineRule="auto"/>
              <w:ind w:firstLine="480" w:firstLineChars="200"/>
              <w:rPr>
                <w:bCs/>
                <w:lang w:bidi="ar"/>
              </w:rPr>
            </w:pPr>
            <w:r>
              <w:rPr>
                <w:bCs/>
                <w:lang w:bidi="ar"/>
              </w:rPr>
              <w:t>线路范围：新建输气管道2994m，起点环园路已建输气管线气源来气自环塔线，沿着环园路北侧自西向东敷设，终点夏木帕夏村已建输气管线交接。</w:t>
            </w:r>
          </w:p>
          <w:p>
            <w:pPr>
              <w:snapToGrid w:val="0"/>
              <w:spacing w:line="360" w:lineRule="auto"/>
              <w:ind w:firstLine="480" w:firstLineChars="200"/>
              <w:rPr>
                <w:bCs/>
                <w:lang w:bidi="ar"/>
              </w:rPr>
            </w:pPr>
            <w:r>
              <w:rPr>
                <w:bCs/>
                <w:lang w:bidi="ar"/>
              </w:rPr>
              <w:t>线路内容：① 线路工程设计：包括输气管道施工图设计：本次输气管道设计压力4.0MPa，管径D323X9mm，压力管道定义为GA1类；② 沿线燃气管道阀井设计：在沿线K0+016和K2+910处设2座主线控制阀井；③ 防腐工程设计：包括管线3PE防腐设计。</w:t>
            </w:r>
          </w:p>
          <w:p>
            <w:pPr>
              <w:snapToGrid w:val="0"/>
              <w:spacing w:line="360" w:lineRule="auto"/>
              <w:ind w:firstLine="480" w:firstLineChars="200"/>
              <w:rPr>
                <w:bCs/>
                <w:lang w:bidi="ar"/>
              </w:rPr>
            </w:pPr>
            <w:r>
              <w:rPr>
                <w:bCs/>
                <w:lang w:bidi="ar"/>
              </w:rPr>
              <w:t>（2）</w:t>
            </w:r>
            <w:r>
              <w:rPr>
                <w:kern w:val="21"/>
              </w:rPr>
              <w:t>航空货运区建设项目</w:t>
            </w:r>
          </w:p>
          <w:p>
            <w:pPr>
              <w:snapToGrid w:val="0"/>
              <w:spacing w:line="360" w:lineRule="auto"/>
              <w:ind w:firstLine="480" w:firstLineChars="200"/>
              <w:rPr>
                <w:lang w:bidi="ar"/>
              </w:rPr>
            </w:pPr>
            <w:r>
              <w:rPr>
                <w:bCs/>
                <w:lang w:bidi="ar"/>
              </w:rPr>
              <w:t>本项目建设规模为冰鲜水产品处理量为1500t/a、肉类处理量为1500t/a，食用水生动物处理量为1500t/a，进境水果处理能力为1800t/a。占地面积144872.79m</w:t>
            </w:r>
            <w:r>
              <w:rPr>
                <w:bCs/>
                <w:vertAlign w:val="superscript"/>
                <w:lang w:bidi="ar"/>
              </w:rPr>
              <w:t>2</w:t>
            </w:r>
            <w:r>
              <w:rPr>
                <w:bCs/>
                <w:lang w:bidi="ar"/>
              </w:rPr>
              <w:t>，建筑面积为4359.83m</w:t>
            </w:r>
            <w:r>
              <w:rPr>
                <w:bCs/>
                <w:vertAlign w:val="superscript"/>
                <w:lang w:bidi="ar"/>
              </w:rPr>
              <w:t>2</w:t>
            </w:r>
            <w:r>
              <w:rPr>
                <w:bCs/>
                <w:lang w:bidi="ar"/>
              </w:rPr>
              <w:t>，场地硬化9924m</w:t>
            </w:r>
            <w:r>
              <w:rPr>
                <w:bCs/>
                <w:vertAlign w:val="superscript"/>
                <w:lang w:bidi="ar"/>
              </w:rPr>
              <w:t>2</w:t>
            </w:r>
            <w:r>
              <w:rPr>
                <w:bCs/>
                <w:lang w:bidi="ar"/>
              </w:rPr>
              <w:t>。本项目晾晒区包含场地硬化、前置拦截作业区包含消杀通道1条、登临检疫/检查区（含设备）、核生化处置区、先期作业机检区、人工检查作业区、检疫处理车位、暂存区；指定监管场地包括冷库区、行车道、检疫检查区；检疫处理区包括已处理区、待处理区、熏蒸处理区、无害化处理区、办公区、场地硬化及消防设施；室外配套工程包含室外电力线路改造工程1项、室外燃气线路改建工程1项，该工程</w:t>
            </w:r>
            <w:r>
              <w:rPr>
                <w:lang w:bidi="ar"/>
              </w:rPr>
              <w:t>主要建设内容见下表2-2。</w:t>
            </w:r>
          </w:p>
          <w:p>
            <w:pPr>
              <w:overflowPunct w:val="0"/>
              <w:adjustRightInd w:val="0"/>
              <w:snapToGrid w:val="0"/>
              <w:jc w:val="center"/>
              <w:rPr>
                <w:b/>
                <w:kern w:val="0"/>
                <w:sz w:val="21"/>
                <w:szCs w:val="21"/>
                <w:lang w:bidi="ar"/>
              </w:rPr>
            </w:pPr>
            <w:r>
              <w:rPr>
                <w:b/>
                <w:kern w:val="0"/>
                <w:sz w:val="21"/>
                <w:szCs w:val="21"/>
                <w:lang w:bidi="ar"/>
              </w:rPr>
              <w:t>表2-2  本工程建设内容一览表</w:t>
            </w:r>
          </w:p>
          <w:tbl>
            <w:tblPr>
              <w:tblStyle w:val="23"/>
              <w:tblW w:w="496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88"/>
              <w:gridCol w:w="111"/>
              <w:gridCol w:w="681"/>
              <w:gridCol w:w="5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tl2br w:val="nil"/>
                    <w:tr2bl w:val="nil"/>
                  </w:tcBorders>
                  <w:shd w:val="clear" w:color="auto" w:fill="auto"/>
                  <w:vAlign w:val="center"/>
                </w:tcPr>
                <w:p>
                  <w:pPr>
                    <w:jc w:val="center"/>
                    <w:rPr>
                      <w:b/>
                      <w:bCs/>
                      <w:sz w:val="21"/>
                      <w:szCs w:val="21"/>
                    </w:rPr>
                  </w:pPr>
                  <w:r>
                    <w:rPr>
                      <w:b/>
                      <w:bCs/>
                      <w:sz w:val="21"/>
                      <w:szCs w:val="21"/>
                      <w:lang w:bidi="ar"/>
                    </w:rPr>
                    <w:t>分类</w:t>
                  </w:r>
                </w:p>
              </w:tc>
              <w:tc>
                <w:tcPr>
                  <w:tcW w:w="1480" w:type="dxa"/>
                  <w:gridSpan w:val="3"/>
                  <w:tcBorders>
                    <w:tl2br w:val="nil"/>
                    <w:tr2bl w:val="nil"/>
                  </w:tcBorders>
                  <w:shd w:val="clear" w:color="auto" w:fill="auto"/>
                  <w:vAlign w:val="center"/>
                </w:tcPr>
                <w:p>
                  <w:pPr>
                    <w:jc w:val="center"/>
                    <w:rPr>
                      <w:b/>
                      <w:bCs/>
                      <w:sz w:val="21"/>
                      <w:szCs w:val="21"/>
                    </w:rPr>
                  </w:pPr>
                  <w:r>
                    <w:rPr>
                      <w:b/>
                      <w:bCs/>
                      <w:sz w:val="21"/>
                      <w:szCs w:val="21"/>
                      <w:lang w:bidi="ar"/>
                    </w:rPr>
                    <w:t>工程名称</w:t>
                  </w:r>
                </w:p>
              </w:tc>
              <w:tc>
                <w:tcPr>
                  <w:tcW w:w="5880" w:type="dxa"/>
                  <w:tcBorders>
                    <w:tl2br w:val="nil"/>
                    <w:tr2bl w:val="nil"/>
                  </w:tcBorders>
                  <w:shd w:val="clear" w:color="auto" w:fill="auto"/>
                  <w:vAlign w:val="center"/>
                </w:tcPr>
                <w:p>
                  <w:pPr>
                    <w:jc w:val="center"/>
                    <w:rPr>
                      <w:b/>
                      <w:bCs/>
                      <w:sz w:val="21"/>
                      <w:szCs w:val="21"/>
                    </w:rPr>
                  </w:pPr>
                  <w:r>
                    <w:rPr>
                      <w:b/>
                      <w:bCs/>
                      <w:sz w:val="21"/>
                      <w:szCs w:val="21"/>
                      <w:lang w:bidi="ar"/>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restart"/>
                  <w:tcBorders>
                    <w:tl2br w:val="nil"/>
                    <w:tr2bl w:val="nil"/>
                  </w:tcBorders>
                  <w:shd w:val="clear" w:color="auto" w:fill="auto"/>
                  <w:vAlign w:val="center"/>
                </w:tcPr>
                <w:p>
                  <w:pPr>
                    <w:jc w:val="center"/>
                    <w:rPr>
                      <w:sz w:val="21"/>
                      <w:szCs w:val="21"/>
                    </w:rPr>
                  </w:pPr>
                  <w:r>
                    <w:rPr>
                      <w:sz w:val="21"/>
                      <w:szCs w:val="21"/>
                      <w:lang w:bidi="ar"/>
                    </w:rPr>
                    <w:t>主体</w:t>
                  </w:r>
                </w:p>
                <w:p>
                  <w:pPr>
                    <w:jc w:val="center"/>
                    <w:rPr>
                      <w:sz w:val="21"/>
                      <w:szCs w:val="21"/>
                    </w:rPr>
                  </w:pPr>
                  <w:r>
                    <w:rPr>
                      <w:sz w:val="21"/>
                      <w:szCs w:val="21"/>
                      <w:lang w:bidi="ar"/>
                    </w:rPr>
                    <w:t>工程</w:t>
                  </w:r>
                </w:p>
              </w:tc>
              <w:tc>
                <w:tcPr>
                  <w:tcW w:w="688" w:type="dxa"/>
                  <w:vMerge w:val="restart"/>
                  <w:tcBorders>
                    <w:tl2br w:val="nil"/>
                    <w:tr2bl w:val="nil"/>
                  </w:tcBorders>
                  <w:shd w:val="clear" w:color="auto" w:fill="auto"/>
                  <w:vAlign w:val="center"/>
                </w:tcPr>
                <w:p>
                  <w:pPr>
                    <w:jc w:val="center"/>
                    <w:rPr>
                      <w:sz w:val="21"/>
                      <w:szCs w:val="21"/>
                    </w:rPr>
                  </w:pPr>
                  <w:r>
                    <w:rPr>
                      <w:sz w:val="21"/>
                      <w:szCs w:val="21"/>
                    </w:rPr>
                    <w:t>燃气管道项目</w:t>
                  </w:r>
                </w:p>
              </w:tc>
              <w:tc>
                <w:tcPr>
                  <w:tcW w:w="792" w:type="dxa"/>
                  <w:gridSpan w:val="2"/>
                  <w:tcBorders>
                    <w:tl2br w:val="nil"/>
                    <w:tr2bl w:val="nil"/>
                  </w:tcBorders>
                  <w:shd w:val="clear" w:color="auto" w:fill="auto"/>
                  <w:vAlign w:val="center"/>
                </w:tcPr>
                <w:p>
                  <w:pPr>
                    <w:jc w:val="center"/>
                    <w:rPr>
                      <w:sz w:val="21"/>
                      <w:szCs w:val="21"/>
                    </w:rPr>
                  </w:pPr>
                  <w:r>
                    <w:rPr>
                      <w:sz w:val="21"/>
                      <w:szCs w:val="21"/>
                    </w:rPr>
                    <w:t>输气</w:t>
                  </w:r>
                </w:p>
                <w:p>
                  <w:pPr>
                    <w:jc w:val="center"/>
                    <w:rPr>
                      <w:sz w:val="21"/>
                      <w:szCs w:val="21"/>
                    </w:rPr>
                  </w:pPr>
                  <w:r>
                    <w:rPr>
                      <w:sz w:val="21"/>
                      <w:szCs w:val="21"/>
                    </w:rPr>
                    <w:t>管道</w:t>
                  </w:r>
                </w:p>
              </w:tc>
              <w:tc>
                <w:tcPr>
                  <w:tcW w:w="5880" w:type="dxa"/>
                  <w:tcBorders>
                    <w:tl2br w:val="nil"/>
                    <w:tr2bl w:val="nil"/>
                  </w:tcBorders>
                  <w:shd w:val="clear" w:color="auto" w:fill="auto"/>
                  <w:vAlign w:val="center"/>
                </w:tcPr>
                <w:p>
                  <w:pPr>
                    <w:jc w:val="center"/>
                    <w:rPr>
                      <w:rFonts w:hint="default" w:eastAsia="宋体"/>
                      <w:sz w:val="21"/>
                      <w:szCs w:val="21"/>
                      <w:lang w:val="en-US" w:eastAsia="zh-CN"/>
                    </w:rPr>
                  </w:pPr>
                  <w:r>
                    <w:rPr>
                      <w:sz w:val="21"/>
                      <w:szCs w:val="21"/>
                      <w:lang w:bidi="ar"/>
                    </w:rPr>
                    <w:t>线路工程设计：包括输气管道施工图设计：本次输气管道设计压力4.0MPa，管径D323X9mm，压力管道定义为GA1类</w:t>
                  </w:r>
                  <w:r>
                    <w:rPr>
                      <w:rFonts w:hint="eastAsia"/>
                      <w:sz w:val="21"/>
                      <w:szCs w:val="21"/>
                      <w:lang w:eastAsia="zh-CN" w:bidi="ar"/>
                    </w:rPr>
                    <w:t>，</w:t>
                  </w:r>
                  <w:r>
                    <w:rPr>
                      <w:rFonts w:hint="eastAsia"/>
                      <w:color w:val="0000FF"/>
                      <w:sz w:val="21"/>
                      <w:szCs w:val="21"/>
                      <w:lang w:val="en-US" w:eastAsia="zh-CN" w:bidi="ar"/>
                    </w:rPr>
                    <w:t>材质</w:t>
                  </w:r>
                  <w:r>
                    <w:rPr>
                      <w:rFonts w:hint="default" w:ascii="Times New Roman" w:hAnsi="Times New Roman" w:eastAsia="宋体" w:cs="Times New Roman"/>
                      <w:color w:val="0000FF"/>
                      <w:spacing w:val="0"/>
                      <w:position w:val="0"/>
                      <w:sz w:val="21"/>
                      <w:szCs w:val="21"/>
                    </w:rPr>
                    <w:t>L360M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tcBorders>
                    <w:tl2br w:val="nil"/>
                    <w:tr2bl w:val="nil"/>
                  </w:tcBorders>
                  <w:shd w:val="clear" w:color="auto" w:fill="auto"/>
                  <w:vAlign w:val="center"/>
                </w:tcPr>
                <w:p>
                  <w:pPr>
                    <w:jc w:val="center"/>
                    <w:rPr>
                      <w:sz w:val="21"/>
                      <w:szCs w:val="21"/>
                      <w:lang w:bidi="ar"/>
                    </w:rPr>
                  </w:pPr>
                  <w:r>
                    <w:rPr>
                      <w:sz w:val="21"/>
                      <w:szCs w:val="21"/>
                      <w:lang w:bidi="ar"/>
                    </w:rPr>
                    <w:t>阀井</w:t>
                  </w:r>
                </w:p>
              </w:tc>
              <w:tc>
                <w:tcPr>
                  <w:tcW w:w="5880" w:type="dxa"/>
                  <w:tcBorders>
                    <w:tl2br w:val="nil"/>
                    <w:tr2bl w:val="nil"/>
                  </w:tcBorders>
                  <w:shd w:val="clear" w:color="auto" w:fill="auto"/>
                  <w:vAlign w:val="center"/>
                </w:tcPr>
                <w:p>
                  <w:pPr>
                    <w:jc w:val="center"/>
                    <w:rPr>
                      <w:sz w:val="21"/>
                      <w:szCs w:val="21"/>
                      <w:lang w:bidi="ar"/>
                    </w:rPr>
                  </w:pPr>
                  <w:r>
                    <w:rPr>
                      <w:sz w:val="21"/>
                      <w:szCs w:val="21"/>
                      <w:lang w:bidi="ar"/>
                    </w:rPr>
                    <w:t>沿线燃气管道阀井设计：在沿线K0+016和K2+910处设2座主线控制阀井。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tcBorders>
                    <w:tl2br w:val="nil"/>
                    <w:tr2bl w:val="nil"/>
                  </w:tcBorders>
                  <w:shd w:val="clear" w:color="auto" w:fill="auto"/>
                  <w:vAlign w:val="center"/>
                </w:tcPr>
                <w:p>
                  <w:pPr>
                    <w:jc w:val="center"/>
                    <w:rPr>
                      <w:sz w:val="21"/>
                      <w:szCs w:val="21"/>
                      <w:lang w:bidi="ar"/>
                    </w:rPr>
                  </w:pPr>
                  <w:r>
                    <w:rPr>
                      <w:sz w:val="21"/>
                      <w:szCs w:val="21"/>
                      <w:lang w:bidi="ar"/>
                    </w:rPr>
                    <w:t>防腐</w:t>
                  </w:r>
                </w:p>
                <w:p>
                  <w:pPr>
                    <w:jc w:val="center"/>
                    <w:rPr>
                      <w:sz w:val="21"/>
                      <w:szCs w:val="21"/>
                      <w:lang w:bidi="ar"/>
                    </w:rPr>
                  </w:pPr>
                  <w:r>
                    <w:rPr>
                      <w:sz w:val="21"/>
                      <w:szCs w:val="21"/>
                      <w:lang w:bidi="ar"/>
                    </w:rPr>
                    <w:t>工程</w:t>
                  </w:r>
                </w:p>
              </w:tc>
              <w:tc>
                <w:tcPr>
                  <w:tcW w:w="5880" w:type="dxa"/>
                  <w:tcBorders>
                    <w:tl2br w:val="nil"/>
                    <w:tr2bl w:val="nil"/>
                  </w:tcBorders>
                  <w:shd w:val="clear" w:color="auto" w:fill="auto"/>
                  <w:vAlign w:val="center"/>
                </w:tcPr>
                <w:p>
                  <w:pPr>
                    <w:jc w:val="center"/>
                    <w:rPr>
                      <w:sz w:val="21"/>
                      <w:szCs w:val="21"/>
                      <w:lang w:bidi="ar"/>
                    </w:rPr>
                  </w:pPr>
                  <w:r>
                    <w:rPr>
                      <w:sz w:val="21"/>
                      <w:szCs w:val="21"/>
                      <w:lang w:bidi="ar"/>
                    </w:rPr>
                    <w:t>防腐工程设计：包括管线3PE防腐设计。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restart"/>
                  <w:tcBorders>
                    <w:tl2br w:val="nil"/>
                    <w:tr2bl w:val="nil"/>
                  </w:tcBorders>
                  <w:shd w:val="clear" w:color="auto" w:fill="auto"/>
                  <w:vAlign w:val="center"/>
                </w:tcPr>
                <w:p>
                  <w:pPr>
                    <w:jc w:val="center"/>
                    <w:rPr>
                      <w:sz w:val="21"/>
                      <w:szCs w:val="21"/>
                    </w:rPr>
                  </w:pPr>
                  <w:r>
                    <w:rPr>
                      <w:sz w:val="21"/>
                      <w:szCs w:val="21"/>
                    </w:rPr>
                    <w:t>航空货运区项目</w:t>
                  </w:r>
                </w:p>
              </w:tc>
              <w:tc>
                <w:tcPr>
                  <w:tcW w:w="792" w:type="dxa"/>
                  <w:gridSpan w:val="2"/>
                  <w:vMerge w:val="restar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指定监管场地</w:t>
                  </w:r>
                </w:p>
              </w:tc>
              <w:tc>
                <w:tcPr>
                  <w:tcW w:w="5880" w:type="dxa"/>
                  <w:tcBorders>
                    <w:tl2br w:val="nil"/>
                    <w:tr2bl w:val="nil"/>
                  </w:tcBorders>
                  <w:shd w:val="clear" w:color="auto" w:fill="auto"/>
                </w:tcPr>
                <w:p>
                  <w:pPr>
                    <w:pStyle w:val="46"/>
                    <w:rPr>
                      <w:rFonts w:ascii="Times New Roman" w:hAnsi="Times New Roman" w:eastAsia="宋体" w:cs="Times New Roman"/>
                      <w:lang w:eastAsia="zh-CN" w:bidi="ar"/>
                    </w:rPr>
                  </w:pPr>
                  <w:r>
                    <w:rPr>
                      <w:rFonts w:ascii="Times New Roman" w:hAnsi="Times New Roman" w:eastAsia="宋体" w:cs="Times New Roman"/>
                      <w:spacing w:val="5"/>
                      <w:lang w:eastAsia="zh-CN"/>
                    </w:rPr>
                    <w:t>监管冷库，共</w:t>
                  </w:r>
                  <w:r>
                    <w:rPr>
                      <w:rFonts w:ascii="Times New Roman" w:hAnsi="Times New Roman" w:eastAsia="宋体" w:cs="Times New Roman"/>
                      <w:spacing w:val="-30"/>
                      <w:lang w:eastAsia="zh-CN"/>
                    </w:rPr>
                    <w:t>7</w:t>
                  </w:r>
                  <w:r>
                    <w:rPr>
                      <w:rFonts w:ascii="Times New Roman" w:hAnsi="Times New Roman" w:eastAsia="宋体" w:cs="Times New Roman"/>
                      <w:spacing w:val="5"/>
                      <w:lang w:eastAsia="zh-CN"/>
                    </w:rPr>
                    <w:t>个冷库</w:t>
                  </w:r>
                  <w:r>
                    <w:rPr>
                      <w:rFonts w:ascii="Times New Roman" w:hAnsi="Times New Roman" w:eastAsia="宋体" w:cs="Times New Roman"/>
                      <w:spacing w:val="-37"/>
                      <w:lang w:eastAsia="zh-CN"/>
                    </w:rPr>
                    <w:t xml:space="preserve"> </w:t>
                  </w:r>
                  <w:r>
                    <w:rPr>
                      <w:rFonts w:ascii="Times New Roman" w:hAnsi="Times New Roman" w:eastAsia="宋体" w:cs="Times New Roman"/>
                      <w:spacing w:val="5"/>
                      <w:lang w:eastAsia="zh-CN"/>
                    </w:rPr>
                    <w:t>328.5m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5"/>
                      <w:lang w:eastAsia="zh-CN"/>
                    </w:rPr>
                    <w:t>。包括监管冷库（冰鲜-4℃)</w:t>
                  </w:r>
                  <w:r>
                    <w:rPr>
                      <w:rFonts w:ascii="Times New Roman" w:hAnsi="Times New Roman" w:eastAsia="宋体" w:cs="Times New Roman"/>
                      <w:spacing w:val="4"/>
                      <w:lang w:eastAsia="zh-CN"/>
                    </w:rPr>
                    <w:t>40.5×2m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，2个；监管冷库（肉类）40.5×2m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，2个；</w:t>
                  </w:r>
                  <w:r>
                    <w:rPr>
                      <w:rFonts w:ascii="Times New Roman" w:hAnsi="Times New Roman" w:eastAsia="宋体" w:cs="Times New Roman"/>
                      <w:spacing w:val="7"/>
                      <w:lang w:eastAsia="zh-CN"/>
                    </w:rPr>
                    <w:t>监管冷库（水果）40.5×2m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7"/>
                      <w:lang w:eastAsia="zh-CN"/>
                    </w:rPr>
                    <w:t>，2</w:t>
                  </w:r>
                  <w:r>
                    <w:rPr>
                      <w:rFonts w:ascii="Times New Roman" w:hAnsi="Times New Roman" w:eastAsia="宋体" w:cs="Times New Roman"/>
                      <w:spacing w:val="6"/>
                      <w:lang w:eastAsia="zh-CN"/>
                    </w:rPr>
                    <w:t>个；水果冷处理库</w:t>
                  </w:r>
                  <w:r>
                    <w:rPr>
                      <w:rFonts w:ascii="Times New Roman" w:hAnsi="Times New Roman" w:eastAsia="宋体" w:cs="Times New Roman"/>
                      <w:spacing w:val="-1"/>
                      <w:lang w:eastAsia="zh-CN"/>
                    </w:rPr>
                    <w:t>85.5m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1"/>
                      <w:lang w:eastAsia="zh-CN"/>
                    </w:rPr>
                    <w:t>，1个。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rPr>
                      <w:rFonts w:ascii="Times New Roman" w:hAnsi="Times New Roman" w:eastAsia="宋体" w:cs="Times New Roman"/>
                      <w:lang w:eastAsia="zh-CN" w:bidi="ar"/>
                    </w:rPr>
                  </w:pPr>
                </w:p>
              </w:tc>
              <w:tc>
                <w:tcPr>
                  <w:tcW w:w="5880" w:type="dxa"/>
                  <w:tcBorders>
                    <w:tl2br w:val="nil"/>
                    <w:tr2bl w:val="nil"/>
                  </w:tcBorders>
                  <w:shd w:val="clear" w:color="auto" w:fill="auto"/>
                </w:tcPr>
                <w:p>
                  <w:pPr>
                    <w:pStyle w:val="46"/>
                    <w:rPr>
                      <w:rFonts w:ascii="Times New Roman" w:hAnsi="Times New Roman" w:eastAsia="宋体" w:cs="Times New Roman"/>
                      <w:lang w:eastAsia="zh-CN" w:bidi="ar"/>
                    </w:rPr>
                  </w:pPr>
                  <w:r>
                    <w:rPr>
                      <w:rFonts w:ascii="Times New Roman" w:hAnsi="Times New Roman" w:eastAsia="宋体" w:cs="Times New Roman"/>
                      <w:spacing w:val="7"/>
                      <w:lang w:eastAsia="zh-CN"/>
                    </w:rPr>
                    <w:t>水生</w:t>
                  </w:r>
                  <w:r>
                    <w:rPr>
                      <w:rFonts w:ascii="Times New Roman" w:hAnsi="Times New Roman" w:eastAsia="宋体" w:cs="Times New Roman"/>
                      <w:spacing w:val="6"/>
                      <w:lang w:eastAsia="zh-CN"/>
                    </w:rPr>
                    <w:t>动物检</w:t>
                  </w:r>
                  <w:r>
                    <w:rPr>
                      <w:rFonts w:ascii="Times New Roman" w:hAnsi="Times New Roman" w:eastAsia="宋体" w:cs="Times New Roman"/>
                      <w:spacing w:val="8"/>
                      <w:lang w:eastAsia="zh-CN"/>
                    </w:rPr>
                    <w:t>查区（核酸检</w:t>
                  </w:r>
                  <w:r>
                    <w:rPr>
                      <w:rFonts w:ascii="Times New Roman" w:hAnsi="Times New Roman" w:eastAsia="宋体" w:cs="Times New Roman"/>
                      <w:lang w:eastAsia="zh-CN"/>
                    </w:rPr>
                    <w:t>测</w:t>
                  </w:r>
                  <w:r>
                    <w:rPr>
                      <w:rFonts w:ascii="Times New Roman" w:hAnsi="Times New Roman" w:eastAsia="宋体" w:cs="Times New Roman"/>
                      <w:spacing w:val="8"/>
                      <w:lang w:eastAsia="zh-CN"/>
                    </w:rPr>
                    <w:t>）</w:t>
                  </w:r>
                  <w:r>
                    <w:rPr>
                      <w:rFonts w:ascii="Times New Roman" w:hAnsi="Times New Roman" w:eastAsia="宋体" w:cs="Times New Roman"/>
                      <w:lang w:eastAsia="zh-CN"/>
                    </w:rPr>
                    <w:t>：</w:t>
                  </w:r>
                  <w:r>
                    <w:rPr>
                      <w:rFonts w:ascii="Times New Roman" w:hAnsi="Times New Roman" w:eastAsia="宋体" w:cs="Times New Roman"/>
                      <w:spacing w:val="7"/>
                      <w:lang w:eastAsia="zh-CN"/>
                    </w:rPr>
                    <w:t>动物存放池、死亡动物存放间、防疫消毒药械存</w:t>
                  </w:r>
                  <w:r>
                    <w:rPr>
                      <w:rFonts w:ascii="Times New Roman" w:hAnsi="Times New Roman" w:eastAsia="宋体" w:cs="Times New Roman"/>
                      <w:spacing w:val="1"/>
                      <w:lang w:eastAsia="zh-CN"/>
                    </w:rPr>
                    <w:t xml:space="preserve"> </w:t>
                  </w:r>
                  <w:r>
                    <w:rPr>
                      <w:rFonts w:ascii="Times New Roman" w:hAnsi="Times New Roman" w:eastAsia="宋体" w:cs="Times New Roman"/>
                      <w:spacing w:val="7"/>
                      <w:lang w:eastAsia="zh-CN"/>
                    </w:rPr>
                    <w:t>放间、水生动物采样感观间等，共687m</w:t>
                  </w:r>
                  <w:r>
                    <w:rPr>
                      <w:rFonts w:ascii="Times New Roman" w:hAnsi="Times New Roman" w:eastAsia="宋体" w:cs="Times New Roman"/>
                      <w:spacing w:val="5"/>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ind w:right="138" w:hanging="86"/>
                    <w:rPr>
                      <w:rFonts w:ascii="Times New Roman" w:hAnsi="Times New Roman" w:eastAsia="宋体" w:cs="Times New Roman"/>
                      <w:lang w:eastAsia="zh-CN" w:bidi="ar"/>
                    </w:rPr>
                  </w:pPr>
                </w:p>
              </w:tc>
              <w:tc>
                <w:tcPr>
                  <w:tcW w:w="5880" w:type="dxa"/>
                  <w:tcBorders>
                    <w:tl2br w:val="nil"/>
                    <w:tr2bl w:val="nil"/>
                  </w:tcBorders>
                  <w:shd w:val="clear" w:color="auto" w:fill="auto"/>
                </w:tcPr>
                <w:p>
                  <w:pPr>
                    <w:rPr>
                      <w:sz w:val="21"/>
                      <w:szCs w:val="21"/>
                      <w:lang w:bidi="ar"/>
                    </w:rPr>
                  </w:pPr>
                  <w:r>
                    <w:rPr>
                      <w:spacing w:val="6"/>
                      <w:sz w:val="21"/>
                      <w:szCs w:val="21"/>
                    </w:rPr>
                    <w:t>水果查验区</w:t>
                  </w:r>
                  <w:r>
                    <w:rPr>
                      <w:spacing w:val="5"/>
                      <w:sz w:val="21"/>
                      <w:szCs w:val="21"/>
                    </w:rPr>
                    <w:t>(核酸检测）</w:t>
                  </w:r>
                  <w:r>
                    <w:rPr>
                      <w:spacing w:val="3"/>
                      <w:sz w:val="21"/>
                      <w:szCs w:val="21"/>
                    </w:rPr>
                    <w:t>743m</w:t>
                  </w:r>
                  <w:r>
                    <w:rPr>
                      <w:spacing w:val="5"/>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ind w:right="121" w:hanging="454"/>
                    <w:rPr>
                      <w:rFonts w:ascii="Times New Roman" w:hAnsi="Times New Roman" w:eastAsia="宋体" w:cs="Times New Roman"/>
                      <w:lang w:eastAsia="zh-CN" w:bidi="ar"/>
                    </w:rPr>
                  </w:pPr>
                </w:p>
              </w:tc>
              <w:tc>
                <w:tcPr>
                  <w:tcW w:w="5880" w:type="dxa"/>
                  <w:tcBorders>
                    <w:tl2br w:val="nil"/>
                    <w:tr2bl w:val="nil"/>
                  </w:tcBorders>
                  <w:shd w:val="clear" w:color="auto" w:fill="auto"/>
                </w:tcPr>
                <w:p>
                  <w:pPr>
                    <w:pStyle w:val="46"/>
                    <w:rPr>
                      <w:rFonts w:ascii="Times New Roman" w:hAnsi="Times New Roman" w:eastAsia="宋体" w:cs="Times New Roman"/>
                      <w:lang w:eastAsia="zh-CN" w:bidi="ar"/>
                    </w:rPr>
                  </w:pPr>
                  <w:r>
                    <w:rPr>
                      <w:rFonts w:ascii="Times New Roman" w:hAnsi="Times New Roman" w:eastAsia="宋体" w:cs="Times New Roman"/>
                      <w:spacing w:val="6"/>
                      <w:lang w:eastAsia="zh-CN"/>
                    </w:rPr>
                    <w:t>冰鲜、肉类</w:t>
                  </w:r>
                  <w:r>
                    <w:rPr>
                      <w:rFonts w:ascii="Times New Roman" w:hAnsi="Times New Roman" w:eastAsia="宋体" w:cs="Times New Roman"/>
                      <w:spacing w:val="7"/>
                      <w:lang w:eastAsia="zh-CN"/>
                    </w:rPr>
                    <w:t>查验区(核酸检</w:t>
                  </w:r>
                  <w:r>
                    <w:rPr>
                      <w:rFonts w:ascii="Times New Roman" w:hAnsi="Times New Roman" w:eastAsia="宋体" w:cs="Times New Roman"/>
                      <w:spacing w:val="5"/>
                      <w:lang w:eastAsia="zh-CN"/>
                    </w:rPr>
                    <w:t>测）</w:t>
                  </w:r>
                  <w:r>
                    <w:rPr>
                      <w:rFonts w:ascii="Times New Roman" w:hAnsi="Times New Roman" w:eastAsia="宋体" w:cs="Times New Roman"/>
                      <w:spacing w:val="3"/>
                      <w:lang w:eastAsia="zh-CN"/>
                    </w:rPr>
                    <w:t>690m</w:t>
                  </w:r>
                  <w:r>
                    <w:rPr>
                      <w:rFonts w:ascii="Times New Roman" w:hAnsi="Times New Roman" w:eastAsia="宋体" w:cs="Times New Roman"/>
                      <w:spacing w:val="5"/>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rPr>
                      <w:rFonts w:ascii="Times New Roman" w:hAnsi="Times New Roman" w:eastAsia="宋体" w:cs="Times New Roman"/>
                      <w:lang w:eastAsia="zh-CN" w:bidi="ar"/>
                    </w:rPr>
                  </w:pPr>
                </w:p>
              </w:tc>
              <w:tc>
                <w:tcPr>
                  <w:tcW w:w="5880" w:type="dxa"/>
                  <w:tcBorders>
                    <w:tl2br w:val="nil"/>
                    <w:tr2bl w:val="nil"/>
                  </w:tcBorders>
                  <w:shd w:val="clear" w:color="auto" w:fill="auto"/>
                </w:tcPr>
                <w:p>
                  <w:pPr>
                    <w:pStyle w:val="46"/>
                    <w:rPr>
                      <w:rFonts w:ascii="Times New Roman" w:hAnsi="Times New Roman" w:eastAsia="宋体" w:cs="Times New Roman"/>
                      <w:lang w:eastAsia="zh-CN" w:bidi="ar"/>
                    </w:rPr>
                  </w:pPr>
                  <w:r>
                    <w:rPr>
                      <w:rFonts w:ascii="Times New Roman" w:hAnsi="Times New Roman" w:eastAsia="宋体" w:cs="Times New Roman"/>
                      <w:spacing w:val="5"/>
                      <w:lang w:eastAsia="zh-CN"/>
                    </w:rPr>
                    <w:t>采样技术</w:t>
                  </w:r>
                  <w:r>
                    <w:rPr>
                      <w:rFonts w:ascii="Times New Roman" w:hAnsi="Times New Roman" w:eastAsia="宋体" w:cs="Times New Roman"/>
                      <w:spacing w:val="6"/>
                      <w:lang w:eastAsia="zh-CN"/>
                    </w:rPr>
                    <w:t>用房（冰鲜、</w:t>
                  </w:r>
                  <w:r>
                    <w:rPr>
                      <w:rFonts w:ascii="Times New Roman" w:hAnsi="Times New Roman" w:eastAsia="宋体" w:cs="Times New Roman"/>
                      <w:spacing w:val="-4"/>
                      <w:lang w:eastAsia="zh-CN"/>
                    </w:rPr>
                    <w:t>肉类）</w:t>
                  </w:r>
                  <w:r>
                    <w:rPr>
                      <w:rFonts w:ascii="Times New Roman" w:hAnsi="Times New Roman" w:eastAsia="宋体" w:cs="Times New Roman"/>
                      <w:spacing w:val="6"/>
                      <w:lang w:eastAsia="zh-CN"/>
                    </w:rPr>
                    <w:t>包括样品预处理室</w:t>
                  </w:r>
                  <w:r>
                    <w:rPr>
                      <w:rFonts w:ascii="Times New Roman" w:hAnsi="Times New Roman" w:eastAsia="宋体" w:cs="Times New Roman"/>
                      <w:spacing w:val="-43"/>
                      <w:lang w:eastAsia="zh-CN"/>
                    </w:rPr>
                    <w:t>2</w:t>
                  </w:r>
                  <w:r>
                    <w:rPr>
                      <w:rFonts w:ascii="Times New Roman" w:hAnsi="Times New Roman" w:eastAsia="宋体" w:cs="Times New Roman"/>
                      <w:spacing w:val="6"/>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6"/>
                      <w:lang w:eastAsia="zh-CN"/>
                    </w:rPr>
                    <w:t>，查验室220m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5"/>
                      <w:lang w:eastAsia="zh-CN"/>
                    </w:rPr>
                    <w:t>，初筛鉴定室</w:t>
                  </w:r>
                  <w:r>
                    <w:rPr>
                      <w:rFonts w:ascii="Times New Roman" w:hAnsi="Times New Roman" w:eastAsia="宋体" w:cs="Times New Roman"/>
                      <w:spacing w:val="4"/>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，初筛鉴定室</w:t>
                  </w:r>
                  <w:r>
                    <w:rPr>
                      <w:rFonts w:ascii="Times New Roman" w:hAnsi="Times New Roman" w:eastAsia="宋体" w:cs="Times New Roman"/>
                      <w:spacing w:val="-43"/>
                      <w:lang w:eastAsia="zh-CN"/>
                    </w:rPr>
                    <w:t>2</w:t>
                  </w:r>
                  <w:r>
                    <w:rPr>
                      <w:rFonts w:ascii="Times New Roman" w:hAnsi="Times New Roman" w:eastAsia="宋体" w:cs="Times New Roman"/>
                      <w:spacing w:val="4"/>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，肉类感官室</w:t>
                  </w:r>
                  <w:r>
                    <w:rPr>
                      <w:rFonts w:ascii="Times New Roman" w:hAnsi="Times New Roman" w:eastAsia="宋体" w:cs="Times New Roman"/>
                      <w:spacing w:val="-43"/>
                      <w:lang w:eastAsia="zh-CN"/>
                    </w:rPr>
                    <w:t>2</w:t>
                  </w:r>
                  <w:r>
                    <w:rPr>
                      <w:rFonts w:ascii="Times New Roman" w:hAnsi="Times New Roman" w:eastAsia="宋体" w:cs="Times New Roman"/>
                      <w:spacing w:val="4"/>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、样品存</w:t>
                  </w:r>
                  <w:r>
                    <w:rPr>
                      <w:rFonts w:ascii="Times New Roman" w:hAnsi="Times New Roman" w:eastAsia="宋体" w:cs="Times New Roman"/>
                      <w:spacing w:val="1"/>
                      <w:lang w:eastAsia="zh-CN"/>
                    </w:rPr>
                    <w:t>放室</w:t>
                  </w:r>
                  <w:r>
                    <w:rPr>
                      <w:rFonts w:ascii="Times New Roman" w:hAnsi="Times New Roman" w:eastAsia="宋体" w:cs="Times New Roman"/>
                      <w:spacing w:val="-43"/>
                      <w:lang w:eastAsia="zh-CN"/>
                    </w:rPr>
                    <w:t>2</w:t>
                  </w:r>
                  <w:r>
                    <w:rPr>
                      <w:rFonts w:ascii="Times New Roman" w:hAnsi="Times New Roman" w:eastAsia="宋体" w:cs="Times New Roman"/>
                      <w:spacing w:val="1"/>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1"/>
                      <w:lang w:eastAsia="zh-CN"/>
                    </w:rPr>
                    <w:t>，药械存放室</w:t>
                  </w:r>
                  <w:r>
                    <w:rPr>
                      <w:rFonts w:ascii="Times New Roman" w:hAnsi="Times New Roman" w:eastAsia="宋体" w:cs="Times New Roman"/>
                      <w:spacing w:val="-43"/>
                      <w:lang w:eastAsia="zh-CN"/>
                    </w:rPr>
                    <w:t>2</w:t>
                  </w:r>
                  <w:r>
                    <w:rPr>
                      <w:rFonts w:ascii="Times New Roman" w:hAnsi="Times New Roman" w:eastAsia="宋体" w:cs="Times New Roman"/>
                      <w:spacing w:val="1"/>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1"/>
                      <w:lang w:eastAsia="zh-CN"/>
                    </w:rPr>
                    <w:t>，应急设备存</w:t>
                  </w:r>
                  <w:r>
                    <w:rPr>
                      <w:rFonts w:ascii="Times New Roman" w:hAnsi="Times New Roman" w:eastAsia="宋体" w:cs="Times New Roman"/>
                      <w:lang w:eastAsia="zh-CN"/>
                    </w:rPr>
                    <w:t>放室</w:t>
                  </w:r>
                  <w:r>
                    <w:rPr>
                      <w:rFonts w:ascii="Times New Roman" w:hAnsi="Times New Roman" w:eastAsia="宋体" w:cs="Times New Roman"/>
                      <w:spacing w:val="-40"/>
                      <w:lang w:eastAsia="zh-CN"/>
                    </w:rPr>
                    <w:t>2</w:t>
                  </w:r>
                  <w:r>
                    <w:rPr>
                      <w:rFonts w:ascii="Times New Roman" w:hAnsi="Times New Roman" w:eastAsia="宋体" w:cs="Times New Roman"/>
                      <w:lang w:eastAsia="zh-CN"/>
                    </w:rPr>
                    <w:t>0m</w:t>
                  </w:r>
                  <w:r>
                    <w:rPr>
                      <w:rFonts w:ascii="Times New Roman" w:hAnsi="Times New Roman" w:eastAsia="宋体" w:cs="Times New Roman"/>
                      <w:spacing w:val="5"/>
                      <w:vertAlign w:val="superscript"/>
                      <w:lang w:eastAsia="zh-CN"/>
                    </w:rPr>
                    <w:t>2</w:t>
                  </w:r>
                  <w:r>
                    <w:rPr>
                      <w:rFonts w:ascii="Times New Roman" w:hAnsi="Times New Roman" w:eastAsia="宋体" w:cs="Times New Roman"/>
                      <w:lang w:eastAsia="zh-CN"/>
                    </w:rPr>
                    <w:t>，</w:t>
                  </w:r>
                  <w:r>
                    <w:rPr>
                      <w:rFonts w:ascii="Times New Roman" w:hAnsi="Times New Roman" w:eastAsia="宋体" w:cs="Times New Roman"/>
                      <w:spacing w:val="4"/>
                      <w:lang w:eastAsia="zh-CN"/>
                    </w:rPr>
                    <w:t>办公室</w:t>
                  </w:r>
                  <w:r>
                    <w:rPr>
                      <w:rFonts w:ascii="Times New Roman" w:hAnsi="Times New Roman" w:eastAsia="宋体" w:cs="Times New Roman"/>
                      <w:spacing w:val="-38"/>
                      <w:lang w:eastAsia="zh-CN"/>
                    </w:rPr>
                    <w:t xml:space="preserve"> </w:t>
                  </w:r>
                  <w:r>
                    <w:rPr>
                      <w:rFonts w:ascii="Times New Roman" w:hAnsi="Times New Roman" w:eastAsia="宋体" w:cs="Times New Roman"/>
                      <w:spacing w:val="4"/>
                      <w:lang w:eastAsia="zh-CN"/>
                    </w:rPr>
                    <w:t>20m等，共180m</w:t>
                  </w:r>
                  <w:r>
                    <w:rPr>
                      <w:rFonts w:ascii="Times New Roman" w:hAnsi="Times New Roman" w:eastAsia="宋体" w:cs="Times New Roman"/>
                      <w:spacing w:val="5"/>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ind w:right="138" w:hanging="17"/>
                    <w:rPr>
                      <w:rFonts w:ascii="Times New Roman" w:hAnsi="Times New Roman" w:eastAsia="宋体" w:cs="Times New Roman"/>
                      <w:lang w:eastAsia="zh-CN" w:bidi="ar"/>
                    </w:rPr>
                  </w:pPr>
                </w:p>
              </w:tc>
              <w:tc>
                <w:tcPr>
                  <w:tcW w:w="5880" w:type="dxa"/>
                  <w:tcBorders>
                    <w:tl2br w:val="nil"/>
                    <w:tr2bl w:val="nil"/>
                  </w:tcBorders>
                  <w:shd w:val="clear" w:color="auto" w:fill="auto"/>
                </w:tcPr>
                <w:p>
                  <w:pPr>
                    <w:pStyle w:val="46"/>
                    <w:rPr>
                      <w:rFonts w:ascii="Times New Roman" w:hAnsi="Times New Roman" w:eastAsia="宋体" w:cs="Times New Roman"/>
                      <w:lang w:eastAsia="zh-CN" w:bidi="ar"/>
                    </w:rPr>
                  </w:pPr>
                  <w:r>
                    <w:rPr>
                      <w:rFonts w:ascii="Times New Roman" w:hAnsi="Times New Roman" w:eastAsia="宋体" w:cs="Times New Roman"/>
                      <w:spacing w:val="6"/>
                      <w:lang w:eastAsia="zh-CN"/>
                    </w:rPr>
                    <w:t>采样技术用房（水果类）包括样品预处理室</w:t>
                  </w:r>
                  <w:r>
                    <w:rPr>
                      <w:rFonts w:ascii="Times New Roman" w:hAnsi="Times New Roman" w:eastAsia="宋体" w:cs="Times New Roman"/>
                      <w:spacing w:val="-43"/>
                      <w:lang w:eastAsia="zh-CN"/>
                    </w:rPr>
                    <w:t xml:space="preserve"> </w:t>
                  </w:r>
                  <w:r>
                    <w:rPr>
                      <w:rFonts w:ascii="Times New Roman" w:hAnsi="Times New Roman" w:eastAsia="宋体" w:cs="Times New Roman"/>
                      <w:spacing w:val="6"/>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6"/>
                      <w:lang w:eastAsia="zh-CN"/>
                    </w:rPr>
                    <w:t>，查验室</w:t>
                  </w:r>
                  <w:r>
                    <w:rPr>
                      <w:rFonts w:ascii="Times New Roman" w:hAnsi="Times New Roman" w:eastAsia="宋体" w:cs="Times New Roman"/>
                      <w:spacing w:val="-41"/>
                      <w:lang w:eastAsia="zh-CN"/>
                    </w:rPr>
                    <w:t xml:space="preserve"> </w:t>
                  </w:r>
                  <w:r>
                    <w:rPr>
                      <w:rFonts w:ascii="Times New Roman" w:hAnsi="Times New Roman" w:eastAsia="宋体" w:cs="Times New Roman"/>
                      <w:spacing w:val="6"/>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5"/>
                      <w:lang w:eastAsia="zh-CN"/>
                    </w:rPr>
                    <w:t>，初筛鉴定室</w:t>
                  </w:r>
                  <w:r>
                    <w:rPr>
                      <w:rFonts w:ascii="Times New Roman" w:hAnsi="Times New Roman" w:eastAsia="宋体" w:cs="Times New Roman"/>
                      <w:spacing w:val="4"/>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，初筛鉴定室</w:t>
                  </w:r>
                  <w:r>
                    <w:rPr>
                      <w:rFonts w:ascii="Times New Roman" w:hAnsi="Times New Roman" w:eastAsia="宋体" w:cs="Times New Roman"/>
                      <w:spacing w:val="-43"/>
                      <w:lang w:eastAsia="zh-CN"/>
                    </w:rPr>
                    <w:t xml:space="preserve"> </w:t>
                  </w:r>
                  <w:r>
                    <w:rPr>
                      <w:rFonts w:ascii="Times New Roman" w:hAnsi="Times New Roman" w:eastAsia="宋体" w:cs="Times New Roman"/>
                      <w:spacing w:val="4"/>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，样品存放室</w:t>
                  </w:r>
                  <w:r>
                    <w:rPr>
                      <w:rFonts w:ascii="Times New Roman" w:hAnsi="Times New Roman" w:eastAsia="宋体" w:cs="Times New Roman"/>
                      <w:spacing w:val="-43"/>
                      <w:lang w:eastAsia="zh-CN"/>
                    </w:rPr>
                    <w:t xml:space="preserve"> </w:t>
                  </w:r>
                  <w:r>
                    <w:rPr>
                      <w:rFonts w:ascii="Times New Roman" w:hAnsi="Times New Roman" w:eastAsia="宋体" w:cs="Times New Roman"/>
                      <w:spacing w:val="4"/>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4"/>
                      <w:lang w:eastAsia="zh-CN"/>
                    </w:rPr>
                    <w:t>，药械存</w:t>
                  </w:r>
                  <w:r>
                    <w:rPr>
                      <w:rFonts w:ascii="Times New Roman" w:hAnsi="Times New Roman" w:eastAsia="宋体" w:cs="Times New Roman"/>
                      <w:spacing w:val="5"/>
                      <w:lang w:eastAsia="zh-CN"/>
                    </w:rPr>
                    <w:t>放室20m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5"/>
                      <w:lang w:eastAsia="zh-CN"/>
                    </w:rPr>
                    <w:t>，应急设备存放室</w:t>
                  </w:r>
                  <w:r>
                    <w:rPr>
                      <w:rFonts w:ascii="Times New Roman" w:hAnsi="Times New Roman" w:eastAsia="宋体" w:cs="Times New Roman"/>
                      <w:spacing w:val="-43"/>
                      <w:lang w:eastAsia="zh-CN"/>
                    </w:rPr>
                    <w:t xml:space="preserve"> </w:t>
                  </w:r>
                  <w:r>
                    <w:rPr>
                      <w:rFonts w:ascii="Times New Roman" w:hAnsi="Times New Roman" w:eastAsia="宋体" w:cs="Times New Roman"/>
                      <w:spacing w:val="5"/>
                      <w:lang w:eastAsia="zh-CN"/>
                    </w:rPr>
                    <w:t>20m</w:t>
                  </w:r>
                  <w:r>
                    <w:rPr>
                      <w:rFonts w:ascii="Times New Roman" w:hAnsi="Times New Roman" w:eastAsia="宋体" w:cs="Times New Roman"/>
                      <w:spacing w:val="5"/>
                      <w:vertAlign w:val="superscript"/>
                      <w:lang w:eastAsia="zh-CN"/>
                    </w:rPr>
                    <w:t>2</w:t>
                  </w:r>
                  <w:r>
                    <w:rPr>
                      <w:rFonts w:ascii="Times New Roman" w:hAnsi="Times New Roman" w:eastAsia="宋体" w:cs="Times New Roman"/>
                      <w:spacing w:val="5"/>
                      <w:lang w:eastAsia="zh-CN"/>
                    </w:rPr>
                    <w:t>，办公室</w:t>
                  </w:r>
                  <w:r>
                    <w:rPr>
                      <w:rFonts w:ascii="Times New Roman" w:hAnsi="Times New Roman" w:eastAsia="宋体" w:cs="Times New Roman"/>
                      <w:spacing w:val="-43"/>
                      <w:lang w:eastAsia="zh-CN"/>
                    </w:rPr>
                    <w:t xml:space="preserve"> </w:t>
                  </w:r>
                  <w:r>
                    <w:rPr>
                      <w:rFonts w:ascii="Times New Roman" w:hAnsi="Times New Roman" w:eastAsia="宋体" w:cs="Times New Roman"/>
                      <w:spacing w:val="5"/>
                      <w:lang w:eastAsia="zh-CN"/>
                    </w:rPr>
                    <w:t>20m更衣</w:t>
                  </w:r>
                  <w:r>
                    <w:rPr>
                      <w:rFonts w:ascii="Times New Roman" w:hAnsi="Times New Roman" w:eastAsia="宋体" w:cs="Times New Roman"/>
                      <w:spacing w:val="3"/>
                      <w:lang w:eastAsia="zh-CN"/>
                    </w:rPr>
                    <w:t>室等，共</w:t>
                  </w:r>
                  <w:r>
                    <w:rPr>
                      <w:rFonts w:ascii="Times New Roman" w:hAnsi="Times New Roman" w:eastAsia="宋体" w:cs="Times New Roman"/>
                      <w:spacing w:val="-21"/>
                      <w:lang w:eastAsia="zh-CN"/>
                    </w:rPr>
                    <w:t xml:space="preserve"> </w:t>
                  </w:r>
                  <w:r>
                    <w:rPr>
                      <w:rFonts w:ascii="Times New Roman" w:hAnsi="Times New Roman" w:eastAsia="宋体" w:cs="Times New Roman"/>
                      <w:spacing w:val="3"/>
                      <w:lang w:eastAsia="zh-CN"/>
                    </w:rPr>
                    <w:t>180m</w:t>
                  </w:r>
                  <w:r>
                    <w:rPr>
                      <w:rFonts w:ascii="Times New Roman" w:hAnsi="Times New Roman" w:eastAsia="宋体" w:cs="Times New Roman"/>
                      <w:spacing w:val="5"/>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vMerge w:val="continue"/>
                  <w:tcBorders>
                    <w:tl2br w:val="nil"/>
                    <w:tr2bl w:val="nil"/>
                  </w:tcBorders>
                  <w:shd w:val="clear" w:color="auto" w:fill="auto"/>
                  <w:vAlign w:val="center"/>
                </w:tcPr>
                <w:p>
                  <w:pPr>
                    <w:pStyle w:val="46"/>
                    <w:ind w:right="138" w:hanging="121"/>
                    <w:rPr>
                      <w:rFonts w:ascii="Times New Roman" w:hAnsi="Times New Roman" w:eastAsia="宋体" w:cs="Times New Roman"/>
                      <w:lang w:eastAsia="zh-CN" w:bidi="ar"/>
                    </w:rPr>
                  </w:pPr>
                </w:p>
              </w:tc>
              <w:tc>
                <w:tcPr>
                  <w:tcW w:w="5880" w:type="dxa"/>
                  <w:tcBorders>
                    <w:tl2br w:val="nil"/>
                    <w:tr2bl w:val="nil"/>
                  </w:tcBorders>
                  <w:shd w:val="clear" w:color="auto" w:fill="auto"/>
                </w:tcPr>
                <w:p>
                  <w:pPr>
                    <w:rPr>
                      <w:sz w:val="21"/>
                      <w:szCs w:val="21"/>
                      <w:lang w:bidi="ar"/>
                    </w:rPr>
                  </w:pPr>
                  <w:r>
                    <w:rPr>
                      <w:spacing w:val="6"/>
                      <w:sz w:val="21"/>
                      <w:szCs w:val="21"/>
                    </w:rPr>
                    <w:t>设备用房及</w:t>
                  </w:r>
                  <w:r>
                    <w:rPr>
                      <w:spacing w:val="8"/>
                      <w:sz w:val="21"/>
                      <w:szCs w:val="21"/>
                    </w:rPr>
                    <w:t>海关机房等</w:t>
                  </w:r>
                  <w:r>
                    <w:rPr>
                      <w:spacing w:val="3"/>
                      <w:sz w:val="21"/>
                      <w:szCs w:val="21"/>
                    </w:rPr>
                    <w:t>300m</w:t>
                  </w:r>
                  <w:r>
                    <w:rPr>
                      <w:spacing w:val="5"/>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688" w:type="dxa"/>
                  <w:vMerge w:val="continue"/>
                  <w:tcBorders>
                    <w:tl2br w:val="nil"/>
                    <w:tr2bl w:val="nil"/>
                  </w:tcBorders>
                  <w:shd w:val="clear" w:color="auto" w:fill="auto"/>
                  <w:vAlign w:val="center"/>
                </w:tcPr>
                <w:p>
                  <w:pPr>
                    <w:jc w:val="center"/>
                    <w:rPr>
                      <w:sz w:val="21"/>
                      <w:szCs w:val="21"/>
                    </w:rPr>
                  </w:pPr>
                </w:p>
              </w:tc>
              <w:tc>
                <w:tcPr>
                  <w:tcW w:w="792" w:type="dxa"/>
                  <w:gridSpan w:val="2"/>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Times New Roman" w:cs="Times New Roman"/>
                      <w:spacing w:val="7"/>
                    </w:rPr>
                    <w:t>4.</w:t>
                  </w:r>
                  <w:r>
                    <w:rPr>
                      <w:rFonts w:ascii="Times New Roman" w:hAnsi="Times New Roman" w:cs="Times New Roman"/>
                      <w:spacing w:val="7"/>
                    </w:rPr>
                    <w:t>检疫处理区</w:t>
                  </w:r>
                </w:p>
              </w:tc>
              <w:tc>
                <w:tcPr>
                  <w:tcW w:w="5880"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Times New Roman" w:cs="Times New Roman"/>
                      <w:spacing w:val="1"/>
                    </w:rPr>
                    <w:t>201.16m</w:t>
                  </w:r>
                  <w:r>
                    <w:rPr>
                      <w:rFonts w:ascii="Times New Roman" w:hAnsi="Times New Roman" w:eastAsia="宋体" w:cs="Times New Roman"/>
                      <w:spacing w:val="1"/>
                      <w:position w:val="6"/>
                      <w:sz w:val="13"/>
                      <w:szCs w:val="13"/>
                      <w:lang w:eastAsia="zh-CN"/>
                    </w:rPr>
                    <w:t>2</w:t>
                  </w:r>
                  <w:r>
                    <w:rPr>
                      <w:rFonts w:ascii="Times New Roman" w:hAnsi="Times New Roman" w:cs="Times New Roman"/>
                      <w:spacing w:val="1"/>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restart"/>
                  <w:tcBorders>
                    <w:tl2br w:val="nil"/>
                    <w:tr2bl w:val="nil"/>
                  </w:tcBorders>
                  <w:shd w:val="clear" w:color="auto" w:fill="auto"/>
                  <w:vAlign w:val="center"/>
                </w:tcPr>
                <w:p>
                  <w:pPr>
                    <w:pStyle w:val="46"/>
                    <w:rPr>
                      <w:rFonts w:ascii="Times New Roman" w:hAnsi="Times New Roman" w:eastAsia="宋体" w:cs="Times New Roman"/>
                      <w:lang w:eastAsia="zh-CN" w:bidi="ar"/>
                    </w:rPr>
                  </w:pPr>
                  <w:r>
                    <w:rPr>
                      <w:rFonts w:ascii="Times New Roman" w:hAnsi="Times New Roman" w:cs="Times New Roman"/>
                      <w:spacing w:val="7"/>
                    </w:rPr>
                    <w:t>储运工程</w:t>
                  </w: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eastAsia="Times New Roman" w:cs="Times New Roman"/>
                      <w:spacing w:val="6"/>
                    </w:rPr>
                    <w:t>1.</w:t>
                  </w:r>
                  <w:r>
                    <w:rPr>
                      <w:rFonts w:ascii="Times New Roman" w:hAnsi="Times New Roman" w:cs="Times New Roman"/>
                      <w:spacing w:val="6"/>
                    </w:rPr>
                    <w:t>辐射探测及消杀通道</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1"/>
                    </w:rPr>
                    <w:t>1</w:t>
                  </w:r>
                  <w:r>
                    <w:rPr>
                      <w:rFonts w:ascii="Times New Roman" w:hAnsi="Times New Roman" w:cs="Times New Roman"/>
                      <w:spacing w:val="1"/>
                    </w:rPr>
                    <w:t>条</w:t>
                  </w:r>
                  <w:r>
                    <w:rPr>
                      <w:rFonts w:ascii="Times New Roman" w:hAnsi="Times New Roman" w:eastAsia="Times New Roman" w:cs="Times New Roman"/>
                      <w:spacing w:val="1"/>
                    </w:rPr>
                    <w:t>161.50m</w:t>
                  </w:r>
                  <w:r>
                    <w:rPr>
                      <w:rFonts w:ascii="Times New Roman" w:hAnsi="Times New Roman" w:eastAsia="Times New Roman" w:cs="Times New Roman"/>
                      <w:spacing w:val="1"/>
                      <w:position w:val="6"/>
                      <w:sz w:val="13"/>
                      <w:szCs w:val="13"/>
                    </w:rPr>
                    <w:t>2</w:t>
                  </w:r>
                  <w:r>
                    <w:rPr>
                      <w:rFonts w:ascii="Times New Roman" w:hAnsi="Times New Roman" w:cs="Times New Roman"/>
                      <w:spacing w:val="1"/>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tcPr>
                <w:p>
                  <w:pP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eastAsia="Times New Roman" w:cs="Times New Roman"/>
                      <w:spacing w:val="6"/>
                    </w:rPr>
                    <w:t>2.</w:t>
                  </w:r>
                  <w:r>
                    <w:rPr>
                      <w:rFonts w:ascii="Times New Roman" w:hAnsi="Times New Roman" w:cs="Times New Roman"/>
                      <w:spacing w:val="6"/>
                    </w:rPr>
                    <w:t>安检通道</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5"/>
                    </w:rPr>
                    <w:t>223.24m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5"/>
                    </w:rPr>
                    <w:t>,</w:t>
                  </w:r>
                  <w:r>
                    <w:rPr>
                      <w:rFonts w:ascii="Times New Roman" w:hAnsi="Times New Roman" w:cs="Times New Roman"/>
                      <w:spacing w:val="5"/>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8"/>
                    </w:rPr>
                    <w:t>室外电力线路改造</w:t>
                  </w:r>
                </w:p>
              </w:tc>
              <w:tc>
                <w:tcPr>
                  <w:tcW w:w="5880" w:type="dxa"/>
                  <w:tcBorders>
                    <w:tl2br w:val="nil"/>
                    <w:tr2bl w:val="nil"/>
                  </w:tcBorders>
                  <w:shd w:val="clear" w:color="auto" w:fill="auto"/>
                </w:tcPr>
                <w:p>
                  <w:pPr>
                    <w:jc w:val="center"/>
                    <w:rPr>
                      <w:kern w:val="0"/>
                      <w:sz w:val="21"/>
                      <w:szCs w:val="21"/>
                      <w:lang w:bidi="ar"/>
                    </w:rPr>
                  </w:pPr>
                  <w:r>
                    <w:rPr>
                      <w:spacing w:val="4"/>
                      <w:sz w:val="21"/>
                      <w:szCs w:val="21"/>
                    </w:rPr>
                    <w:t>8.73</w:t>
                  </w:r>
                  <w:r>
                    <w:rPr>
                      <w:sz w:val="21"/>
                      <w:szCs w:val="21"/>
                    </w:rPr>
                    <w:t>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8"/>
                      <w:lang w:eastAsia="zh-CN"/>
                    </w:rPr>
                    <w:t>室外燃气线路改建工程</w:t>
                  </w:r>
                </w:p>
              </w:tc>
              <w:tc>
                <w:tcPr>
                  <w:tcW w:w="5880" w:type="dxa"/>
                  <w:tcBorders>
                    <w:tl2br w:val="nil"/>
                    <w:tr2bl w:val="nil"/>
                  </w:tcBorders>
                  <w:shd w:val="clear" w:color="auto" w:fill="auto"/>
                </w:tcPr>
                <w:p>
                  <w:pPr>
                    <w:jc w:val="center"/>
                    <w:rPr>
                      <w:kern w:val="0"/>
                      <w:sz w:val="21"/>
                      <w:szCs w:val="21"/>
                      <w:lang w:bidi="ar"/>
                    </w:rPr>
                  </w:pPr>
                  <w:r>
                    <w:rPr>
                      <w:spacing w:val="5"/>
                      <w:sz w:val="21"/>
                      <w:szCs w:val="21"/>
                    </w:rPr>
                    <w:t>3.3</w:t>
                  </w:r>
                  <w:r>
                    <w:rPr>
                      <w:sz w:val="21"/>
                      <w:szCs w:val="21"/>
                    </w:rPr>
                    <w:t>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8"/>
                    </w:rPr>
                    <w:t>检疫处理车位</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宋体" w:cs="Times New Roman"/>
                      <w:spacing w:val="3"/>
                    </w:rPr>
                    <w:t>240m</w:t>
                  </w:r>
                  <w:r>
                    <w:rPr>
                      <w:rFonts w:ascii="Times New Roman" w:hAnsi="Times New Roman" w:eastAsia="宋体" w:cs="Times New Roman"/>
                      <w:spacing w:val="3"/>
                      <w:position w:val="6"/>
                    </w:rPr>
                    <w:t>2</w:t>
                  </w:r>
                  <w:r>
                    <w:rPr>
                      <w:rFonts w:ascii="Times New Roman" w:hAnsi="Times New Roman" w:eastAsia="宋体" w:cs="Times New Roman"/>
                      <w:spacing w:val="-3"/>
                      <w:position w:val="6"/>
                    </w:rPr>
                    <w:t xml:space="preserve"> </w:t>
                  </w:r>
                  <w:r>
                    <w:rPr>
                      <w:rFonts w:ascii="Times New Roman" w:hAnsi="Times New Roman" w:eastAsia="宋体"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4"/>
                    </w:rPr>
                    <w:t>暂存区</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240m</w:t>
                  </w:r>
                  <w:r>
                    <w:rPr>
                      <w:rFonts w:ascii="Times New Roman" w:hAnsi="Times New Roman" w:eastAsia="Times New Roman" w:cs="Times New Roman"/>
                      <w:spacing w:val="3"/>
                      <w:position w:val="6"/>
                    </w:rPr>
                    <w:t>2</w:t>
                  </w:r>
                  <w:r>
                    <w:rPr>
                      <w:rFonts w:ascii="Times New Roman" w:hAnsi="Times New Roman" w:eastAsia="Times New Roman" w:cs="Times New Roman"/>
                      <w:spacing w:val="-3"/>
                      <w:position w:val="6"/>
                    </w:rPr>
                    <w:t xml:space="preserve"> </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5"/>
                    </w:rPr>
                    <w:t>行车道</w:t>
                  </w:r>
                </w:p>
              </w:tc>
              <w:tc>
                <w:tcPr>
                  <w:tcW w:w="5880" w:type="dxa"/>
                  <w:tcBorders>
                    <w:tl2br w:val="nil"/>
                    <w:tr2bl w:val="nil"/>
                  </w:tcBorders>
                  <w:shd w:val="clear" w:color="auto" w:fill="auto"/>
                </w:tcPr>
                <w:p>
                  <w:pPr>
                    <w:jc w:val="center"/>
                    <w:rPr>
                      <w:kern w:val="0"/>
                      <w:sz w:val="21"/>
                      <w:szCs w:val="21"/>
                      <w:lang w:bidi="ar"/>
                    </w:rPr>
                  </w:pPr>
                  <w:r>
                    <w:rPr>
                      <w:rFonts w:eastAsia="Times New Roman"/>
                      <w:spacing w:val="4"/>
                      <w:sz w:val="21"/>
                      <w:szCs w:val="21"/>
                    </w:rPr>
                    <w:t>2104.25m</w:t>
                  </w:r>
                  <w:r>
                    <w:rPr>
                      <w:rFonts w:eastAsia="Times New Roman"/>
                      <w:spacing w:val="1"/>
                      <w:position w:val="6"/>
                      <w:sz w:val="13"/>
                      <w:szCs w:val="13"/>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5"/>
                    </w:rPr>
                    <w:t>办公区</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5"/>
                    </w:rPr>
                    <w:t>50m</w:t>
                  </w:r>
                  <w:r>
                    <w:rPr>
                      <w:rFonts w:ascii="Times New Roman" w:hAnsi="Times New Roman" w:eastAsia="Times New Roman" w:cs="Times New Roman"/>
                      <w:spacing w:val="1"/>
                      <w:position w:val="6"/>
                      <w:sz w:val="13"/>
                      <w:szCs w:val="13"/>
                    </w:rPr>
                    <w:t>2</w:t>
                  </w:r>
                  <w:r>
                    <w:rPr>
                      <w:rFonts w:ascii="Times New Roman" w:hAnsi="Times New Roman" w:cs="Times New Roman"/>
                      <w:spacing w:val="5"/>
                    </w:rPr>
                    <w:t>，混凝土框架结构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7"/>
                    </w:rPr>
                    <w:t>场地硬化</w:t>
                  </w:r>
                </w:p>
              </w:tc>
              <w:tc>
                <w:tcPr>
                  <w:tcW w:w="5880" w:type="dxa"/>
                  <w:tcBorders>
                    <w:tl2br w:val="nil"/>
                    <w:tr2bl w:val="nil"/>
                  </w:tcBorders>
                  <w:shd w:val="clear" w:color="auto" w:fill="auto"/>
                </w:tcPr>
                <w:p>
                  <w:pPr>
                    <w:jc w:val="center"/>
                    <w:rPr>
                      <w:kern w:val="0"/>
                      <w:sz w:val="21"/>
                      <w:szCs w:val="21"/>
                      <w:lang w:bidi="ar"/>
                    </w:rPr>
                  </w:pPr>
                  <w:r>
                    <w:rPr>
                      <w:rFonts w:eastAsia="Times New Roman"/>
                      <w:spacing w:val="3"/>
                      <w:sz w:val="21"/>
                      <w:szCs w:val="21"/>
                    </w:rPr>
                    <w:t>9924m</w:t>
                  </w:r>
                  <w:r>
                    <w:rPr>
                      <w:rFonts w:eastAsia="Times New Roman"/>
                      <w:spacing w:val="1"/>
                      <w:position w:val="6"/>
                      <w:sz w:val="13"/>
                      <w:szCs w:val="13"/>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6"/>
                    </w:rPr>
                    <w:t>消防设施</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6"/>
                      <w:lang w:eastAsia="zh-CN"/>
                    </w:rPr>
                    <w:t>50m</w:t>
                  </w:r>
                  <w:r>
                    <w:rPr>
                      <w:rFonts w:ascii="Times New Roman" w:hAnsi="Times New Roman" w:eastAsia="Times New Roman" w:cs="Times New Roman"/>
                      <w:spacing w:val="1"/>
                      <w:position w:val="6"/>
                      <w:sz w:val="13"/>
                      <w:szCs w:val="13"/>
                      <w:lang w:eastAsia="zh-CN"/>
                    </w:rPr>
                    <w:t>2</w:t>
                  </w:r>
                  <w:r>
                    <w:rPr>
                      <w:rFonts w:ascii="Times New Roman" w:hAnsi="Times New Roman" w:cs="Times New Roman"/>
                      <w:spacing w:val="6"/>
                      <w:lang w:eastAsia="zh-CN"/>
                    </w:rPr>
                    <w:t>，混凝土框架结构，设置一座</w:t>
                  </w:r>
                  <w:r>
                    <w:rPr>
                      <w:rFonts w:ascii="Times New Roman" w:hAnsi="Times New Roman" w:cs="Times New Roman"/>
                      <w:spacing w:val="-39"/>
                      <w:lang w:eastAsia="zh-CN"/>
                    </w:rPr>
                    <w:t xml:space="preserve"> </w:t>
                  </w:r>
                  <w:r>
                    <w:rPr>
                      <w:rFonts w:ascii="Times New Roman" w:hAnsi="Times New Roman" w:eastAsia="Times New Roman" w:cs="Times New Roman"/>
                      <w:spacing w:val="6"/>
                      <w:lang w:eastAsia="zh-CN"/>
                    </w:rPr>
                    <w:t>300m</w:t>
                  </w:r>
                  <w:r>
                    <w:rPr>
                      <w:rFonts w:ascii="Times New Roman" w:hAnsi="Times New Roman" w:eastAsia="宋体" w:cs="Times New Roman"/>
                      <w:spacing w:val="1"/>
                      <w:position w:val="6"/>
                      <w:sz w:val="13"/>
                      <w:szCs w:val="13"/>
                      <w:lang w:eastAsia="zh-CN"/>
                    </w:rPr>
                    <w:t>3</w:t>
                  </w:r>
                  <w:r>
                    <w:rPr>
                      <w:rFonts w:ascii="Times New Roman" w:hAnsi="Times New Roman" w:cs="Times New Roman"/>
                      <w:spacing w:val="6"/>
                      <w:lang w:eastAsia="zh-CN"/>
                    </w:rPr>
                    <w:t>消防水池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6"/>
                    </w:rPr>
                    <w:t>卫生间</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20m</w:t>
                  </w:r>
                  <w:r>
                    <w:rPr>
                      <w:rFonts w:ascii="Times New Roman" w:hAnsi="Times New Roman" w:eastAsia="Times New Roman" w:cs="Times New Roman"/>
                      <w:spacing w:val="1"/>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5"/>
                    </w:rPr>
                    <w:t>办公室</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40m</w:t>
                  </w:r>
                  <w:r>
                    <w:rPr>
                      <w:rFonts w:ascii="Times New Roman" w:hAnsi="Times New Roman" w:eastAsia="Times New Roman" w:cs="Times New Roman"/>
                      <w:spacing w:val="1"/>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8"/>
                    </w:rPr>
                    <w:t>应急设备存放室</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20m</w:t>
                  </w:r>
                  <w:r>
                    <w:rPr>
                      <w:rFonts w:ascii="Times New Roman" w:hAnsi="Times New Roman" w:eastAsia="Times New Roman" w:cs="Times New Roman"/>
                      <w:spacing w:val="1"/>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6"/>
                    </w:rPr>
                    <w:t>更衣室</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20m</w:t>
                  </w:r>
                  <w:r>
                    <w:rPr>
                      <w:rFonts w:ascii="Times New Roman" w:hAnsi="Times New Roman" w:eastAsia="Times New Roman" w:cs="Times New Roman"/>
                      <w:spacing w:val="3"/>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8"/>
                    </w:rPr>
                    <w:t>视频监控室</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40m</w:t>
                  </w:r>
                  <w:r>
                    <w:rPr>
                      <w:rFonts w:ascii="Times New Roman" w:hAnsi="Times New Roman" w:eastAsia="Times New Roman" w:cs="Times New Roman"/>
                      <w:spacing w:val="3"/>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lang w:bidi="ar"/>
                    </w:rPr>
                  </w:pPr>
                </w:p>
              </w:tc>
              <w:tc>
                <w:tcPr>
                  <w:tcW w:w="1480" w:type="dxa"/>
                  <w:gridSpan w:val="3"/>
                  <w:tcBorders>
                    <w:tl2br w:val="nil"/>
                    <w:tr2bl w:val="nil"/>
                  </w:tcBorders>
                  <w:shd w:val="clear" w:color="auto" w:fill="auto"/>
                </w:tcPr>
                <w:p>
                  <w:pPr>
                    <w:pStyle w:val="46"/>
                    <w:jc w:val="center"/>
                    <w:rPr>
                      <w:rFonts w:ascii="Times New Roman" w:hAnsi="Times New Roman" w:eastAsia="宋体" w:cs="Times New Roman"/>
                      <w:lang w:eastAsia="zh-CN" w:bidi="ar"/>
                    </w:rPr>
                  </w:pPr>
                  <w:r>
                    <w:rPr>
                      <w:rFonts w:ascii="Times New Roman" w:hAnsi="Times New Roman" w:cs="Times New Roman"/>
                      <w:spacing w:val="6"/>
                    </w:rPr>
                    <w:t>卫生间</w:t>
                  </w:r>
                </w:p>
              </w:tc>
              <w:tc>
                <w:tcPr>
                  <w:tcW w:w="5880" w:type="dxa"/>
                  <w:tcBorders>
                    <w:tl2br w:val="nil"/>
                    <w:tr2bl w:val="nil"/>
                  </w:tcBorders>
                  <w:shd w:val="clear" w:color="auto" w:fill="auto"/>
                </w:tcPr>
                <w:p>
                  <w:pPr>
                    <w:pStyle w:val="46"/>
                    <w:jc w:val="center"/>
                    <w:rPr>
                      <w:rFonts w:ascii="Times New Roman" w:hAnsi="Times New Roman" w:eastAsia="宋体" w:cs="Times New Roman"/>
                      <w:kern w:val="0"/>
                      <w:lang w:eastAsia="zh-CN" w:bidi="ar"/>
                    </w:rPr>
                  </w:pPr>
                  <w:r>
                    <w:rPr>
                      <w:rFonts w:ascii="Times New Roman" w:hAnsi="Times New Roman" w:eastAsia="Times New Roman" w:cs="Times New Roman"/>
                      <w:spacing w:val="3"/>
                    </w:rPr>
                    <w:t>20m</w:t>
                  </w:r>
                  <w:r>
                    <w:rPr>
                      <w:rFonts w:ascii="Times New Roman" w:hAnsi="Times New Roman" w:eastAsia="Times New Roman" w:cs="Times New Roman"/>
                      <w:spacing w:val="3"/>
                      <w:position w:val="6"/>
                      <w:sz w:val="13"/>
                      <w:szCs w:val="13"/>
                    </w:rPr>
                    <w:t>2</w:t>
                  </w:r>
                  <w:r>
                    <w:rPr>
                      <w:rFonts w:ascii="Times New Roman" w:hAnsi="Times New Roman" w:cs="Times New Roman"/>
                      <w:spacing w:val="3"/>
                    </w:rPr>
                    <w:t>，钢结构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restart"/>
                  <w:tcBorders>
                    <w:tl2br w:val="nil"/>
                    <w:tr2bl w:val="nil"/>
                  </w:tcBorders>
                  <w:shd w:val="clear" w:color="auto" w:fill="auto"/>
                  <w:vAlign w:val="center"/>
                </w:tcPr>
                <w:p>
                  <w:pPr>
                    <w:jc w:val="center"/>
                    <w:rPr>
                      <w:sz w:val="21"/>
                      <w:szCs w:val="21"/>
                    </w:rPr>
                  </w:pPr>
                  <w:r>
                    <w:rPr>
                      <w:sz w:val="21"/>
                      <w:szCs w:val="21"/>
                      <w:lang w:bidi="ar"/>
                    </w:rPr>
                    <w:t>公用</w:t>
                  </w:r>
                </w:p>
                <w:p>
                  <w:pPr>
                    <w:jc w:val="center"/>
                    <w:rPr>
                      <w:sz w:val="21"/>
                      <w:szCs w:val="21"/>
                    </w:rPr>
                  </w:pPr>
                  <w:r>
                    <w:rPr>
                      <w:sz w:val="21"/>
                      <w:szCs w:val="21"/>
                      <w:lang w:bidi="ar"/>
                    </w:rPr>
                    <w:t>工程</w:t>
                  </w:r>
                </w:p>
              </w:tc>
              <w:tc>
                <w:tcPr>
                  <w:tcW w:w="1480" w:type="dxa"/>
                  <w:gridSpan w:val="3"/>
                  <w:tcBorders>
                    <w:tl2br w:val="nil"/>
                    <w:tr2bl w:val="nil"/>
                  </w:tcBorders>
                  <w:shd w:val="clear" w:color="auto" w:fill="auto"/>
                  <w:vAlign w:val="center"/>
                </w:tcPr>
                <w:p>
                  <w:pPr>
                    <w:jc w:val="center"/>
                    <w:rPr>
                      <w:sz w:val="21"/>
                      <w:szCs w:val="21"/>
                    </w:rPr>
                  </w:pPr>
                  <w:r>
                    <w:rPr>
                      <w:sz w:val="21"/>
                      <w:szCs w:val="21"/>
                      <w:lang w:bidi="ar"/>
                    </w:rPr>
                    <w:t>供电</w:t>
                  </w:r>
                </w:p>
              </w:tc>
              <w:tc>
                <w:tcPr>
                  <w:tcW w:w="5880" w:type="dxa"/>
                  <w:tcBorders>
                    <w:tl2br w:val="nil"/>
                    <w:tr2bl w:val="nil"/>
                  </w:tcBorders>
                  <w:shd w:val="clear" w:color="auto" w:fill="auto"/>
                  <w:vAlign w:val="center"/>
                </w:tcPr>
                <w:p>
                  <w:pPr>
                    <w:jc w:val="center"/>
                    <w:rPr>
                      <w:sz w:val="21"/>
                      <w:szCs w:val="21"/>
                    </w:rPr>
                  </w:pPr>
                  <w:r>
                    <w:rPr>
                      <w:color w:val="0000FF"/>
                      <w:kern w:val="0"/>
                      <w:sz w:val="21"/>
                      <w:szCs w:val="21"/>
                      <w:lang w:bidi="ar"/>
                    </w:rPr>
                    <w:t>燃气管道</w:t>
                  </w:r>
                  <w:r>
                    <w:rPr>
                      <w:rFonts w:hint="eastAsia"/>
                      <w:color w:val="0000FF"/>
                      <w:kern w:val="0"/>
                      <w:sz w:val="21"/>
                      <w:szCs w:val="21"/>
                      <w:lang w:val="en-US" w:eastAsia="zh-CN" w:bidi="ar"/>
                    </w:rPr>
                    <w:t>施工期</w:t>
                  </w:r>
                  <w:r>
                    <w:rPr>
                      <w:color w:val="0000FF"/>
                      <w:kern w:val="0"/>
                      <w:sz w:val="21"/>
                      <w:szCs w:val="21"/>
                      <w:lang w:bidi="ar"/>
                    </w:rPr>
                    <w:t>采用自备60KW柴油发电机供电；航空货运区建设项目</w:t>
                  </w:r>
                  <w:r>
                    <w:rPr>
                      <w:rFonts w:hint="eastAsia"/>
                      <w:color w:val="0000FF"/>
                      <w:kern w:val="0"/>
                      <w:sz w:val="21"/>
                      <w:szCs w:val="21"/>
                      <w:lang w:val="en-US" w:eastAsia="zh-CN" w:bidi="ar"/>
                    </w:rPr>
                    <w:t>施工及运营期</w:t>
                  </w:r>
                  <w:r>
                    <w:rPr>
                      <w:color w:val="0000FF"/>
                      <w:kern w:val="0"/>
                      <w:sz w:val="21"/>
                      <w:szCs w:val="21"/>
                      <w:lang w:bidi="ar"/>
                    </w:rPr>
                    <w:t>供电由经六路电缆分接箱内引入线缆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1480" w:type="dxa"/>
                  <w:gridSpan w:val="3"/>
                  <w:tcBorders>
                    <w:tl2br w:val="nil"/>
                    <w:tr2bl w:val="nil"/>
                  </w:tcBorders>
                  <w:shd w:val="clear" w:color="auto" w:fill="auto"/>
                  <w:vAlign w:val="center"/>
                </w:tcPr>
                <w:p>
                  <w:pPr>
                    <w:jc w:val="center"/>
                    <w:rPr>
                      <w:sz w:val="21"/>
                      <w:szCs w:val="21"/>
                    </w:rPr>
                  </w:pPr>
                  <w:r>
                    <w:rPr>
                      <w:sz w:val="21"/>
                      <w:szCs w:val="21"/>
                      <w:lang w:bidi="ar"/>
                    </w:rPr>
                    <w:t>供水</w:t>
                  </w:r>
                </w:p>
              </w:tc>
              <w:tc>
                <w:tcPr>
                  <w:tcW w:w="5880" w:type="dxa"/>
                  <w:tcBorders>
                    <w:tl2br w:val="nil"/>
                    <w:tr2bl w:val="nil"/>
                  </w:tcBorders>
                  <w:shd w:val="clear" w:color="auto" w:fill="auto"/>
                  <w:vAlign w:val="center"/>
                </w:tcPr>
                <w:p>
                  <w:pPr>
                    <w:jc w:val="center"/>
                    <w:rPr>
                      <w:sz w:val="21"/>
                      <w:szCs w:val="21"/>
                    </w:rPr>
                  </w:pPr>
                  <w:r>
                    <w:rPr>
                      <w:color w:val="0000FF"/>
                      <w:sz w:val="21"/>
                      <w:szCs w:val="21"/>
                      <w:lang w:bidi="ar"/>
                    </w:rPr>
                    <w:t>燃气管道</w:t>
                  </w:r>
                  <w:r>
                    <w:rPr>
                      <w:rFonts w:hint="eastAsia"/>
                      <w:color w:val="0000FF"/>
                      <w:kern w:val="0"/>
                      <w:sz w:val="21"/>
                      <w:szCs w:val="21"/>
                      <w:lang w:val="en-US" w:eastAsia="zh-CN" w:bidi="ar"/>
                    </w:rPr>
                    <w:t>施工期</w:t>
                  </w:r>
                  <w:r>
                    <w:rPr>
                      <w:color w:val="0000FF"/>
                      <w:sz w:val="21"/>
                      <w:szCs w:val="21"/>
                      <w:lang w:bidi="ar"/>
                    </w:rPr>
                    <w:t>施工用水和生活用水采用就近村庄拉水供给，平均运距500m；</w:t>
                  </w:r>
                  <w:r>
                    <w:rPr>
                      <w:color w:val="0000FF"/>
                      <w:kern w:val="0"/>
                      <w:sz w:val="21"/>
                      <w:szCs w:val="21"/>
                      <w:lang w:bidi="ar"/>
                    </w:rPr>
                    <w:t>航空货运区建设项目</w:t>
                  </w:r>
                  <w:r>
                    <w:rPr>
                      <w:rFonts w:hint="eastAsia"/>
                      <w:color w:val="0000FF"/>
                      <w:kern w:val="0"/>
                      <w:sz w:val="21"/>
                      <w:szCs w:val="21"/>
                      <w:lang w:val="en-US" w:eastAsia="zh-CN" w:bidi="ar"/>
                    </w:rPr>
                    <w:t>施工及运营期</w:t>
                  </w:r>
                  <w:r>
                    <w:rPr>
                      <w:color w:val="0000FF"/>
                      <w:kern w:val="0"/>
                      <w:sz w:val="21"/>
                      <w:szCs w:val="21"/>
                      <w:lang w:bidi="ar"/>
                    </w:rPr>
                    <w:t>市政管网提供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1480" w:type="dxa"/>
                  <w:gridSpan w:val="3"/>
                  <w:tcBorders>
                    <w:tl2br w:val="nil"/>
                    <w:tr2bl w:val="nil"/>
                  </w:tcBorders>
                  <w:shd w:val="clear" w:color="auto" w:fill="auto"/>
                  <w:vAlign w:val="center"/>
                </w:tcPr>
                <w:p>
                  <w:pPr>
                    <w:jc w:val="center"/>
                    <w:rPr>
                      <w:sz w:val="21"/>
                      <w:szCs w:val="21"/>
                      <w:lang w:bidi="ar"/>
                    </w:rPr>
                  </w:pPr>
                  <w:r>
                    <w:rPr>
                      <w:sz w:val="21"/>
                      <w:szCs w:val="21"/>
                      <w:lang w:bidi="ar"/>
                    </w:rPr>
                    <w:t>排水</w:t>
                  </w:r>
                </w:p>
              </w:tc>
              <w:tc>
                <w:tcPr>
                  <w:tcW w:w="5880" w:type="dxa"/>
                  <w:tcBorders>
                    <w:tl2br w:val="nil"/>
                    <w:tr2bl w:val="nil"/>
                  </w:tcBorders>
                  <w:shd w:val="clear" w:color="auto" w:fill="auto"/>
                  <w:vAlign w:val="center"/>
                </w:tcPr>
                <w:p>
                  <w:pPr>
                    <w:jc w:val="center"/>
                    <w:rPr>
                      <w:color w:val="0000FF"/>
                      <w:sz w:val="21"/>
                      <w:szCs w:val="21"/>
                      <w:lang w:bidi="ar"/>
                    </w:rPr>
                  </w:pPr>
                  <w:r>
                    <w:rPr>
                      <w:color w:val="0000FF"/>
                      <w:kern w:val="0"/>
                      <w:sz w:val="21"/>
                      <w:szCs w:val="21"/>
                      <w:lang w:bidi="ar"/>
                    </w:rPr>
                    <w:t>航空货运区建设项目</w:t>
                  </w:r>
                  <w:r>
                    <w:rPr>
                      <w:rFonts w:hint="eastAsia"/>
                      <w:color w:val="0000FF"/>
                      <w:kern w:val="0"/>
                      <w:sz w:val="21"/>
                      <w:szCs w:val="21"/>
                      <w:lang w:val="en-US" w:eastAsia="zh-CN" w:bidi="ar"/>
                    </w:rPr>
                    <w:t>施工及运营期</w:t>
                  </w:r>
                  <w:r>
                    <w:rPr>
                      <w:color w:val="0000FF"/>
                      <w:kern w:val="0"/>
                      <w:sz w:val="21"/>
                      <w:szCs w:val="21"/>
                      <w:lang w:bidi="ar"/>
                    </w:rPr>
                    <w:t>污水接保税区内污水管网，排放至当地污水处理厂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1480" w:type="dxa"/>
                  <w:gridSpan w:val="3"/>
                  <w:tcBorders>
                    <w:tl2br w:val="nil"/>
                    <w:tr2bl w:val="nil"/>
                  </w:tcBorders>
                  <w:shd w:val="clear" w:color="auto" w:fill="auto"/>
                  <w:vAlign w:val="center"/>
                </w:tcPr>
                <w:p>
                  <w:pPr>
                    <w:jc w:val="center"/>
                    <w:rPr>
                      <w:kern w:val="0"/>
                      <w:sz w:val="21"/>
                      <w:szCs w:val="21"/>
                      <w:lang w:eastAsia="en-US" w:bidi="ar"/>
                    </w:rPr>
                  </w:pPr>
                  <w:r>
                    <w:rPr>
                      <w:kern w:val="0"/>
                      <w:sz w:val="21"/>
                      <w:szCs w:val="21"/>
                      <w:lang w:bidi="ar"/>
                    </w:rPr>
                    <w:t>供暖系统</w:t>
                  </w:r>
                </w:p>
              </w:tc>
              <w:tc>
                <w:tcPr>
                  <w:tcW w:w="5880" w:type="dxa"/>
                  <w:tcBorders>
                    <w:tl2br w:val="nil"/>
                    <w:tr2bl w:val="nil"/>
                  </w:tcBorders>
                  <w:shd w:val="clear" w:color="auto" w:fill="auto"/>
                </w:tcPr>
                <w:p>
                  <w:pPr>
                    <w:jc w:val="center"/>
                    <w:rPr>
                      <w:color w:val="0000FF"/>
                      <w:kern w:val="0"/>
                      <w:sz w:val="21"/>
                      <w:szCs w:val="21"/>
                      <w:lang w:bidi="ar"/>
                    </w:rPr>
                  </w:pPr>
                  <w:r>
                    <w:rPr>
                      <w:color w:val="0000FF"/>
                      <w:sz w:val="21"/>
                      <w:szCs w:val="21"/>
                      <w:lang w:bidi="ar"/>
                    </w:rPr>
                    <w:t>燃气管道建设项目无需供暖，</w:t>
                  </w:r>
                  <w:r>
                    <w:rPr>
                      <w:color w:val="0000FF"/>
                      <w:kern w:val="0"/>
                      <w:sz w:val="21"/>
                      <w:szCs w:val="21"/>
                      <w:lang w:bidi="ar"/>
                    </w:rPr>
                    <w:t>航空货运区建设项目</w:t>
                  </w:r>
                  <w:r>
                    <w:rPr>
                      <w:rFonts w:hint="eastAsia"/>
                      <w:color w:val="0000FF"/>
                      <w:kern w:val="0"/>
                      <w:sz w:val="21"/>
                      <w:szCs w:val="21"/>
                      <w:lang w:val="en-US" w:eastAsia="zh-CN" w:bidi="ar"/>
                    </w:rPr>
                    <w:t>运营期</w:t>
                  </w:r>
                  <w:r>
                    <w:rPr>
                      <w:color w:val="0000FF"/>
                      <w:kern w:val="0"/>
                      <w:sz w:val="21"/>
                      <w:szCs w:val="21"/>
                      <w:lang w:bidi="ar"/>
                    </w:rPr>
                    <w:t>办公人员冬季采用电采暖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tcBorders>
                    <w:tl2br w:val="nil"/>
                    <w:tr2bl w:val="nil"/>
                  </w:tcBorders>
                  <w:shd w:val="clear" w:color="auto" w:fill="auto"/>
                  <w:vAlign w:val="center"/>
                </w:tcPr>
                <w:p>
                  <w:pPr>
                    <w:jc w:val="center"/>
                    <w:rPr>
                      <w:sz w:val="21"/>
                      <w:szCs w:val="21"/>
                    </w:rPr>
                  </w:pPr>
                  <w:r>
                    <w:rPr>
                      <w:sz w:val="21"/>
                      <w:szCs w:val="21"/>
                      <w:lang w:bidi="ar"/>
                    </w:rPr>
                    <w:t>临时工程</w:t>
                  </w:r>
                </w:p>
              </w:tc>
              <w:tc>
                <w:tcPr>
                  <w:tcW w:w="1480" w:type="dxa"/>
                  <w:gridSpan w:val="3"/>
                  <w:tcBorders>
                    <w:tl2br w:val="nil"/>
                    <w:tr2bl w:val="nil"/>
                  </w:tcBorders>
                  <w:shd w:val="clear" w:color="auto" w:fill="auto"/>
                  <w:vAlign w:val="center"/>
                </w:tcPr>
                <w:p>
                  <w:pPr>
                    <w:jc w:val="center"/>
                    <w:rPr>
                      <w:kern w:val="0"/>
                      <w:sz w:val="21"/>
                      <w:szCs w:val="21"/>
                    </w:rPr>
                  </w:pPr>
                  <w:r>
                    <w:rPr>
                      <w:kern w:val="0"/>
                      <w:sz w:val="21"/>
                      <w:szCs w:val="21"/>
                      <w:lang w:bidi="ar"/>
                    </w:rPr>
                    <w:t>燃气管道建设项目施工生产区</w:t>
                  </w:r>
                </w:p>
              </w:tc>
              <w:tc>
                <w:tcPr>
                  <w:tcW w:w="5880" w:type="dxa"/>
                  <w:tcBorders>
                    <w:tl2br w:val="nil"/>
                    <w:tr2bl w:val="nil"/>
                  </w:tcBorders>
                  <w:shd w:val="clear" w:color="auto" w:fill="auto"/>
                  <w:vAlign w:val="center"/>
                </w:tcPr>
                <w:p>
                  <w:pPr>
                    <w:jc w:val="center"/>
                    <w:rPr>
                      <w:sz w:val="21"/>
                      <w:szCs w:val="21"/>
                      <w:lang w:bidi="ar"/>
                    </w:rPr>
                  </w:pPr>
                  <w:r>
                    <w:rPr>
                      <w:sz w:val="21"/>
                      <w:szCs w:val="21"/>
                      <w:lang w:bidi="ar"/>
                    </w:rPr>
                    <w:t>施工人员租住附近村庄房屋或者临近人员回家，因此不设临时生活设施，仅设临时生产区，主要用于施工机械、施工材料堆放以及施工器械的停放。本项目土方开挖、回填、生态恢复可以充分利用，不设取弃土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restart"/>
                  <w:tcBorders>
                    <w:tl2br w:val="nil"/>
                    <w:tr2bl w:val="nil"/>
                  </w:tcBorders>
                  <w:shd w:val="clear" w:color="auto" w:fill="auto"/>
                  <w:vAlign w:val="center"/>
                </w:tcPr>
                <w:p>
                  <w:pPr>
                    <w:jc w:val="center"/>
                    <w:rPr>
                      <w:sz w:val="21"/>
                      <w:szCs w:val="21"/>
                    </w:rPr>
                  </w:pPr>
                  <w:r>
                    <w:rPr>
                      <w:sz w:val="21"/>
                      <w:szCs w:val="21"/>
                      <w:lang w:bidi="ar"/>
                    </w:rPr>
                    <w:t>环保</w:t>
                  </w:r>
                </w:p>
                <w:p>
                  <w:pPr>
                    <w:jc w:val="center"/>
                    <w:rPr>
                      <w:sz w:val="21"/>
                      <w:szCs w:val="21"/>
                    </w:rPr>
                  </w:pPr>
                  <w:r>
                    <w:rPr>
                      <w:sz w:val="21"/>
                      <w:szCs w:val="21"/>
                      <w:lang w:bidi="ar"/>
                    </w:rPr>
                    <w:t>工程</w:t>
                  </w:r>
                </w:p>
              </w:tc>
              <w:tc>
                <w:tcPr>
                  <w:tcW w:w="799" w:type="dxa"/>
                  <w:gridSpan w:val="2"/>
                  <w:vMerge w:val="restart"/>
                  <w:tcBorders>
                    <w:tl2br w:val="nil"/>
                    <w:tr2bl w:val="nil"/>
                  </w:tcBorders>
                  <w:shd w:val="clear" w:color="auto" w:fill="auto"/>
                  <w:vAlign w:val="center"/>
                </w:tcPr>
                <w:p>
                  <w:pPr>
                    <w:jc w:val="center"/>
                    <w:rPr>
                      <w:sz w:val="21"/>
                      <w:szCs w:val="21"/>
                    </w:rPr>
                  </w:pPr>
                  <w:r>
                    <w:rPr>
                      <w:sz w:val="21"/>
                      <w:szCs w:val="21"/>
                      <w:lang w:bidi="ar"/>
                    </w:rPr>
                    <w:t>燃气管道建设项目</w:t>
                  </w:r>
                </w:p>
              </w:tc>
              <w:tc>
                <w:tcPr>
                  <w:tcW w:w="681" w:type="dxa"/>
                  <w:tcBorders>
                    <w:tl2br w:val="nil"/>
                    <w:tr2bl w:val="nil"/>
                  </w:tcBorders>
                  <w:shd w:val="clear" w:color="auto" w:fill="auto"/>
                  <w:vAlign w:val="center"/>
                </w:tcPr>
                <w:p>
                  <w:pPr>
                    <w:jc w:val="center"/>
                    <w:rPr>
                      <w:sz w:val="21"/>
                      <w:szCs w:val="21"/>
                      <w:lang w:bidi="ar"/>
                    </w:rPr>
                  </w:pPr>
                  <w:r>
                    <w:rPr>
                      <w:sz w:val="21"/>
                      <w:szCs w:val="21"/>
                      <w:lang w:bidi="ar"/>
                    </w:rPr>
                    <w:t>施工扬尘</w:t>
                  </w:r>
                </w:p>
              </w:tc>
              <w:tc>
                <w:tcPr>
                  <w:tcW w:w="5880" w:type="dxa"/>
                  <w:tcBorders>
                    <w:tl2br w:val="nil"/>
                    <w:tr2bl w:val="nil"/>
                  </w:tcBorders>
                  <w:shd w:val="clear" w:color="auto" w:fill="auto"/>
                  <w:vAlign w:val="center"/>
                </w:tcPr>
                <w:p>
                  <w:pPr>
                    <w:jc w:val="center"/>
                    <w:rPr>
                      <w:sz w:val="21"/>
                      <w:szCs w:val="21"/>
                      <w:lang w:bidi="ar"/>
                    </w:rPr>
                  </w:pPr>
                  <w:r>
                    <w:rPr>
                      <w:sz w:val="21"/>
                      <w:szCs w:val="21"/>
                      <w:lang w:bidi="ar"/>
                    </w:rPr>
                    <w:t>施工场地、道路洒水，运输物料遮盖等。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vAlign w:val="center"/>
                </w:tcPr>
                <w:p>
                  <w:pPr>
                    <w:jc w:val="center"/>
                    <w:rPr>
                      <w:sz w:val="21"/>
                      <w:szCs w:val="21"/>
                      <w:lang w:bidi="ar"/>
                    </w:rPr>
                  </w:pPr>
                  <w:r>
                    <w:rPr>
                      <w:sz w:val="21"/>
                      <w:szCs w:val="21"/>
                      <w:lang w:bidi="ar"/>
                    </w:rPr>
                    <w:t>施工废水</w:t>
                  </w:r>
                </w:p>
              </w:tc>
              <w:tc>
                <w:tcPr>
                  <w:tcW w:w="5880" w:type="dxa"/>
                  <w:tcBorders>
                    <w:tl2br w:val="nil"/>
                    <w:tr2bl w:val="nil"/>
                  </w:tcBorders>
                  <w:shd w:val="clear" w:color="auto" w:fill="auto"/>
                  <w:vAlign w:val="center"/>
                </w:tcPr>
                <w:p>
                  <w:pPr>
                    <w:jc w:val="center"/>
                    <w:rPr>
                      <w:sz w:val="21"/>
                      <w:szCs w:val="21"/>
                    </w:rPr>
                  </w:pPr>
                  <w:r>
                    <w:rPr>
                      <w:sz w:val="21"/>
                      <w:szCs w:val="21"/>
                      <w:lang w:bidi="ar"/>
                    </w:rPr>
                    <w:t>施工生产区设沉淀池（3m×3m×1m），施工废水经沉淀处理后，回用于场地洒水抑尘，不外排。</w:t>
                  </w:r>
                  <w:r>
                    <w:rPr>
                      <w:sz w:val="21"/>
                      <w:szCs w:val="21"/>
                    </w:rPr>
                    <w:t>管道试压废水通过管道接综合保税区内污水管网，排放至当地污水处理厂。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vAlign w:val="center"/>
                </w:tcPr>
                <w:p>
                  <w:pPr>
                    <w:jc w:val="center"/>
                    <w:rPr>
                      <w:sz w:val="21"/>
                      <w:szCs w:val="21"/>
                      <w:lang w:bidi="ar"/>
                    </w:rPr>
                  </w:pPr>
                  <w:r>
                    <w:rPr>
                      <w:sz w:val="21"/>
                      <w:szCs w:val="21"/>
                      <w:lang w:bidi="ar"/>
                    </w:rPr>
                    <w:t>生活废水</w:t>
                  </w:r>
                </w:p>
              </w:tc>
              <w:tc>
                <w:tcPr>
                  <w:tcW w:w="5880" w:type="dxa"/>
                  <w:tcBorders>
                    <w:tl2br w:val="nil"/>
                    <w:tr2bl w:val="nil"/>
                  </w:tcBorders>
                  <w:shd w:val="clear" w:color="auto" w:fill="auto"/>
                  <w:vAlign w:val="center"/>
                </w:tcPr>
                <w:p>
                  <w:pPr>
                    <w:jc w:val="center"/>
                    <w:rPr>
                      <w:sz w:val="21"/>
                      <w:szCs w:val="21"/>
                    </w:rPr>
                  </w:pPr>
                  <w:r>
                    <w:rPr>
                      <w:sz w:val="21"/>
                      <w:szCs w:val="21"/>
                      <w:lang w:bidi="ar"/>
                    </w:rPr>
                    <w:t>施工期不设临时生活区，租用当地现有房屋，生活污水排放依托现有排水管网处理。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vAlign w:val="center"/>
                </w:tcPr>
                <w:p>
                  <w:pPr>
                    <w:jc w:val="center"/>
                    <w:rPr>
                      <w:sz w:val="21"/>
                      <w:szCs w:val="21"/>
                      <w:lang w:bidi="ar"/>
                    </w:rPr>
                  </w:pPr>
                  <w:r>
                    <w:rPr>
                      <w:sz w:val="21"/>
                      <w:szCs w:val="21"/>
                      <w:lang w:bidi="ar"/>
                    </w:rPr>
                    <w:t>噪声</w:t>
                  </w:r>
                </w:p>
              </w:tc>
              <w:tc>
                <w:tcPr>
                  <w:tcW w:w="5880" w:type="dxa"/>
                  <w:tcBorders>
                    <w:tl2br w:val="nil"/>
                    <w:tr2bl w:val="nil"/>
                  </w:tcBorders>
                  <w:shd w:val="clear" w:color="auto" w:fill="auto"/>
                  <w:vAlign w:val="center"/>
                </w:tcPr>
                <w:p>
                  <w:pPr>
                    <w:jc w:val="center"/>
                    <w:rPr>
                      <w:sz w:val="21"/>
                      <w:szCs w:val="21"/>
                    </w:rPr>
                  </w:pPr>
                  <w:r>
                    <w:rPr>
                      <w:sz w:val="21"/>
                      <w:szCs w:val="21"/>
                      <w:lang w:bidi="ar"/>
                    </w:rPr>
                    <w:t>施工期加强管理、优化施工方案、采用低噪声设备，避免噪声设备午间夜间施工等。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vAlign w:val="center"/>
                </w:tcPr>
                <w:p>
                  <w:pPr>
                    <w:jc w:val="center"/>
                    <w:rPr>
                      <w:sz w:val="21"/>
                      <w:szCs w:val="21"/>
                      <w:lang w:bidi="ar"/>
                    </w:rPr>
                  </w:pPr>
                  <w:r>
                    <w:rPr>
                      <w:sz w:val="21"/>
                      <w:szCs w:val="21"/>
                      <w:lang w:bidi="ar"/>
                    </w:rPr>
                    <w:t>固废</w:t>
                  </w:r>
                </w:p>
              </w:tc>
              <w:tc>
                <w:tcPr>
                  <w:tcW w:w="5880" w:type="dxa"/>
                  <w:tcBorders>
                    <w:tl2br w:val="nil"/>
                    <w:tr2bl w:val="nil"/>
                  </w:tcBorders>
                  <w:shd w:val="clear" w:color="auto" w:fill="auto"/>
                  <w:vAlign w:val="center"/>
                </w:tcPr>
                <w:p>
                  <w:pPr>
                    <w:jc w:val="center"/>
                    <w:rPr>
                      <w:sz w:val="21"/>
                      <w:szCs w:val="21"/>
                    </w:rPr>
                  </w:pPr>
                  <w:r>
                    <w:rPr>
                      <w:sz w:val="21"/>
                      <w:szCs w:val="21"/>
                      <w:lang w:bidi="ar"/>
                    </w:rPr>
                    <w:t>施工期回填弃土用于沿线两侧或道路的绿化建设，同时进行整平，故不设置弃渣场</w:t>
                  </w:r>
                  <w:r>
                    <w:rPr>
                      <w:kern w:val="0"/>
                      <w:sz w:val="21"/>
                      <w:szCs w:val="21"/>
                      <w:lang w:bidi="ar"/>
                    </w:rPr>
                    <w:t>；建筑垃圾集中收集后送至环卫部门指定建筑垃圾填埋场处置</w:t>
                  </w:r>
                  <w:r>
                    <w:rPr>
                      <w:sz w:val="21"/>
                      <w:szCs w:val="21"/>
                      <w:lang w:bidi="ar"/>
                    </w:rPr>
                    <w:t>；施工期生活垃圾依托附近村庄现有设施。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restart"/>
                  <w:tcBorders>
                    <w:tl2br w:val="nil"/>
                    <w:tr2bl w:val="nil"/>
                  </w:tcBorders>
                  <w:shd w:val="clear" w:color="auto" w:fill="auto"/>
                  <w:vAlign w:val="center"/>
                </w:tcPr>
                <w:p>
                  <w:pPr>
                    <w:jc w:val="center"/>
                    <w:rPr>
                      <w:sz w:val="21"/>
                      <w:szCs w:val="21"/>
                    </w:rPr>
                  </w:pPr>
                  <w:r>
                    <w:rPr>
                      <w:sz w:val="21"/>
                      <w:szCs w:val="21"/>
                    </w:rPr>
                    <w:t>航空货运区建设项目</w:t>
                  </w:r>
                </w:p>
              </w:tc>
              <w:tc>
                <w:tcPr>
                  <w:tcW w:w="681" w:type="dxa"/>
                  <w:tcBorders>
                    <w:tl2br w:val="nil"/>
                    <w:tr2bl w:val="nil"/>
                  </w:tcBorders>
                  <w:shd w:val="clear" w:color="auto" w:fill="auto"/>
                </w:tcPr>
                <w:p>
                  <w:pPr>
                    <w:jc w:val="center"/>
                    <w:rPr>
                      <w:sz w:val="21"/>
                      <w:szCs w:val="21"/>
                      <w:lang w:bidi="ar"/>
                    </w:rPr>
                  </w:pPr>
                  <w:r>
                    <w:rPr>
                      <w:sz w:val="21"/>
                      <w:szCs w:val="21"/>
                      <w:lang w:bidi="ar"/>
                    </w:rPr>
                    <w:t>废水</w:t>
                  </w:r>
                </w:p>
              </w:tc>
              <w:tc>
                <w:tcPr>
                  <w:tcW w:w="5880" w:type="dxa"/>
                  <w:tcBorders>
                    <w:tl2br w:val="nil"/>
                    <w:tr2bl w:val="nil"/>
                  </w:tcBorders>
                  <w:shd w:val="clear" w:color="auto" w:fill="auto"/>
                </w:tcPr>
                <w:p>
                  <w:pPr>
                    <w:jc w:val="center"/>
                    <w:rPr>
                      <w:kern w:val="0"/>
                      <w:sz w:val="21"/>
                      <w:szCs w:val="21"/>
                      <w:lang w:bidi="ar"/>
                    </w:rPr>
                  </w:pPr>
                  <w:r>
                    <w:rPr>
                      <w:kern w:val="0"/>
                      <w:sz w:val="21"/>
                      <w:szCs w:val="21"/>
                      <w:lang w:bidi="ar"/>
                    </w:rPr>
                    <w:t>污水接保税区内污水管网，排放至当地污水处理厂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tcPr>
                <w:p>
                  <w:pPr>
                    <w:jc w:val="center"/>
                    <w:rPr>
                      <w:sz w:val="21"/>
                      <w:szCs w:val="21"/>
                      <w:lang w:bidi="ar"/>
                    </w:rPr>
                  </w:pPr>
                  <w:r>
                    <w:rPr>
                      <w:sz w:val="21"/>
                      <w:szCs w:val="21"/>
                      <w:lang w:bidi="ar"/>
                    </w:rPr>
                    <w:t>废气</w:t>
                  </w:r>
                </w:p>
              </w:tc>
              <w:tc>
                <w:tcPr>
                  <w:tcW w:w="5880" w:type="dxa"/>
                  <w:tcBorders>
                    <w:tl2br w:val="nil"/>
                    <w:tr2bl w:val="nil"/>
                  </w:tcBorders>
                  <w:shd w:val="clear" w:color="auto" w:fill="auto"/>
                </w:tcPr>
                <w:p>
                  <w:pPr>
                    <w:jc w:val="center"/>
                    <w:rPr>
                      <w:kern w:val="0"/>
                      <w:sz w:val="21"/>
                      <w:szCs w:val="21"/>
                      <w:lang w:bidi="ar"/>
                    </w:rPr>
                  </w:pPr>
                  <w:r>
                    <w:rPr>
                      <w:kern w:val="0"/>
                      <w:sz w:val="21"/>
                      <w:szCs w:val="21"/>
                      <w:lang w:bidi="ar"/>
                    </w:rPr>
                    <w:t>熏蒸废气采取活性炭吸附装置处理方式；无害化处理</w:t>
                  </w:r>
                </w:p>
                <w:p>
                  <w:pPr>
                    <w:jc w:val="center"/>
                    <w:rPr>
                      <w:kern w:val="0"/>
                      <w:sz w:val="21"/>
                      <w:szCs w:val="21"/>
                      <w:lang w:bidi="ar"/>
                    </w:rPr>
                  </w:pPr>
                  <w:r>
                    <w:rPr>
                      <w:kern w:val="0"/>
                      <w:sz w:val="21"/>
                      <w:szCs w:val="21"/>
                      <w:lang w:bidi="ar"/>
                    </w:rPr>
                    <w:t>废气采取布袋除尘器+生物滤池+15m 排气筒处理</w:t>
                  </w:r>
                  <w:r>
                    <w:rPr>
                      <w:rFonts w:hint="eastAsia"/>
                      <w:kern w:val="0"/>
                      <w:sz w:val="21"/>
                      <w:szCs w:val="21"/>
                      <w:lang w:eastAsia="zh-CN" w:bidi="ar"/>
                    </w:rPr>
                    <w:t>措施</w:t>
                  </w:r>
                </w:p>
                <w:p>
                  <w:pPr>
                    <w:jc w:val="center"/>
                    <w:rPr>
                      <w:kern w:val="0"/>
                      <w:sz w:val="21"/>
                      <w:szCs w:val="21"/>
                      <w:lang w:bidi="ar"/>
                    </w:rPr>
                  </w:pPr>
                  <w:r>
                    <w:rPr>
                      <w:kern w:val="0"/>
                      <w:sz w:val="21"/>
                      <w:szCs w:val="21"/>
                      <w:lang w:bidi="ar"/>
                    </w:rPr>
                    <w:t>；坏烂水果及肉类恶臭采取及时处理，大气扩散的</w:t>
                  </w:r>
                </w:p>
                <w:p>
                  <w:pPr>
                    <w:jc w:val="center"/>
                    <w:rPr>
                      <w:kern w:val="0"/>
                      <w:sz w:val="21"/>
                      <w:szCs w:val="21"/>
                      <w:lang w:bidi="ar"/>
                    </w:rPr>
                  </w:pPr>
                  <w:r>
                    <w:rPr>
                      <w:kern w:val="0"/>
                      <w:sz w:val="21"/>
                      <w:szCs w:val="21"/>
                      <w:lang w:bidi="ar"/>
                    </w:rPr>
                    <w:t>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tcPr>
                <w:p>
                  <w:pPr>
                    <w:jc w:val="center"/>
                    <w:rPr>
                      <w:sz w:val="21"/>
                      <w:szCs w:val="21"/>
                      <w:lang w:bidi="ar"/>
                    </w:rPr>
                  </w:pPr>
                  <w:r>
                    <w:rPr>
                      <w:sz w:val="21"/>
                      <w:szCs w:val="21"/>
                      <w:lang w:bidi="ar"/>
                    </w:rPr>
                    <w:t>噪声</w:t>
                  </w:r>
                </w:p>
              </w:tc>
              <w:tc>
                <w:tcPr>
                  <w:tcW w:w="5880" w:type="dxa"/>
                  <w:tcBorders>
                    <w:tl2br w:val="nil"/>
                    <w:tr2bl w:val="nil"/>
                  </w:tcBorders>
                  <w:shd w:val="clear" w:color="auto" w:fill="auto"/>
                </w:tcPr>
                <w:p>
                  <w:pPr>
                    <w:jc w:val="center"/>
                    <w:rPr>
                      <w:kern w:val="0"/>
                      <w:sz w:val="21"/>
                      <w:szCs w:val="21"/>
                      <w:lang w:bidi="ar"/>
                    </w:rPr>
                  </w:pPr>
                  <w:r>
                    <w:rPr>
                      <w:kern w:val="0"/>
                      <w:sz w:val="21"/>
                      <w:szCs w:val="21"/>
                      <w:lang w:bidi="ar"/>
                    </w:rPr>
                    <w:t>机械设备加装减震垫、厂界隔声、距离减噪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799" w:type="dxa"/>
                  <w:gridSpan w:val="2"/>
                  <w:vMerge w:val="continue"/>
                  <w:tcBorders>
                    <w:tl2br w:val="nil"/>
                    <w:tr2bl w:val="nil"/>
                  </w:tcBorders>
                  <w:shd w:val="clear" w:color="auto" w:fill="auto"/>
                  <w:vAlign w:val="center"/>
                </w:tcPr>
                <w:p>
                  <w:pPr>
                    <w:jc w:val="center"/>
                    <w:rPr>
                      <w:sz w:val="21"/>
                      <w:szCs w:val="21"/>
                    </w:rPr>
                  </w:pPr>
                </w:p>
              </w:tc>
              <w:tc>
                <w:tcPr>
                  <w:tcW w:w="681" w:type="dxa"/>
                  <w:tcBorders>
                    <w:tl2br w:val="nil"/>
                    <w:tr2bl w:val="nil"/>
                  </w:tcBorders>
                  <w:shd w:val="clear" w:color="auto" w:fill="auto"/>
                </w:tcPr>
                <w:p>
                  <w:pPr>
                    <w:jc w:val="center"/>
                    <w:rPr>
                      <w:sz w:val="21"/>
                      <w:szCs w:val="21"/>
                      <w:lang w:bidi="ar"/>
                    </w:rPr>
                  </w:pPr>
                  <w:r>
                    <w:rPr>
                      <w:sz w:val="21"/>
                      <w:szCs w:val="21"/>
                      <w:lang w:bidi="ar"/>
                    </w:rPr>
                    <w:t>固废</w:t>
                  </w:r>
                </w:p>
              </w:tc>
              <w:tc>
                <w:tcPr>
                  <w:tcW w:w="5880" w:type="dxa"/>
                  <w:tcBorders>
                    <w:tl2br w:val="nil"/>
                    <w:tr2bl w:val="nil"/>
                  </w:tcBorders>
                  <w:shd w:val="clear" w:color="auto" w:fill="auto"/>
                </w:tcPr>
                <w:p>
                  <w:pPr>
                    <w:jc w:val="center"/>
                    <w:rPr>
                      <w:kern w:val="0"/>
                      <w:sz w:val="21"/>
                      <w:szCs w:val="21"/>
                      <w:lang w:bidi="ar"/>
                    </w:rPr>
                  </w:pPr>
                  <w:r>
                    <w:rPr>
                      <w:kern w:val="0"/>
                      <w:sz w:val="21"/>
                      <w:szCs w:val="21"/>
                      <w:lang w:bidi="ar"/>
                    </w:rPr>
                    <w:t>生活垃圾与废烂水果集中收集后交由环卫部门处理；废活性炭与废防疫装备分类收集后，暂存于危废暂存间，交由有资质的单位处理。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continue"/>
                  <w:tcBorders>
                    <w:tl2br w:val="nil"/>
                    <w:tr2bl w:val="nil"/>
                  </w:tcBorders>
                  <w:shd w:val="clear" w:color="auto" w:fill="auto"/>
                  <w:vAlign w:val="center"/>
                </w:tcPr>
                <w:p>
                  <w:pPr>
                    <w:jc w:val="center"/>
                    <w:rPr>
                      <w:sz w:val="21"/>
                      <w:szCs w:val="21"/>
                    </w:rPr>
                  </w:pPr>
                </w:p>
              </w:tc>
              <w:tc>
                <w:tcPr>
                  <w:tcW w:w="1480" w:type="dxa"/>
                  <w:gridSpan w:val="3"/>
                  <w:tcBorders>
                    <w:tl2br w:val="nil"/>
                    <w:tr2bl w:val="nil"/>
                  </w:tcBorders>
                  <w:shd w:val="clear" w:color="auto" w:fill="auto"/>
                  <w:vAlign w:val="center"/>
                </w:tcPr>
                <w:p>
                  <w:pPr>
                    <w:jc w:val="center"/>
                    <w:rPr>
                      <w:sz w:val="21"/>
                      <w:szCs w:val="21"/>
                      <w:lang w:bidi="ar"/>
                    </w:rPr>
                  </w:pPr>
                  <w:r>
                    <w:rPr>
                      <w:sz w:val="21"/>
                      <w:szCs w:val="21"/>
                      <w:lang w:bidi="ar"/>
                    </w:rPr>
                    <w:t>其他</w:t>
                  </w:r>
                </w:p>
              </w:tc>
              <w:tc>
                <w:tcPr>
                  <w:tcW w:w="5880" w:type="dxa"/>
                  <w:tcBorders>
                    <w:tl2br w:val="nil"/>
                    <w:tr2bl w:val="nil"/>
                  </w:tcBorders>
                  <w:shd w:val="clear" w:color="auto" w:fill="auto"/>
                  <w:vAlign w:val="center"/>
                </w:tcPr>
                <w:p>
                  <w:pPr>
                    <w:jc w:val="center"/>
                    <w:rPr>
                      <w:kern w:val="0"/>
                      <w:sz w:val="21"/>
                      <w:szCs w:val="21"/>
                      <w:lang w:bidi="ar"/>
                    </w:rPr>
                  </w:pPr>
                  <w:r>
                    <w:rPr>
                      <w:kern w:val="0"/>
                      <w:sz w:val="21"/>
                      <w:szCs w:val="21"/>
                      <w:lang w:bidi="ar"/>
                    </w:rPr>
                    <w:t>绿化面积</w:t>
                  </w:r>
                  <w:r>
                    <w:rPr>
                      <w:rFonts w:eastAsia="Times New Roman"/>
                      <w:spacing w:val="3"/>
                      <w:sz w:val="20"/>
                      <w:szCs w:val="20"/>
                    </w:rPr>
                    <w:t>3500m</w:t>
                  </w:r>
                  <w:r>
                    <w:rPr>
                      <w:rFonts w:eastAsia="Times New Roman"/>
                      <w:spacing w:val="3"/>
                      <w:position w:val="6"/>
                      <w:sz w:val="13"/>
                      <w:szCs w:val="13"/>
                    </w:rPr>
                    <w:t>2</w:t>
                  </w:r>
                </w:p>
              </w:tc>
            </w:tr>
          </w:tbl>
          <w:p>
            <w:pPr>
              <w:pStyle w:val="29"/>
              <w:adjustRightInd/>
              <w:snapToGrid/>
              <w:spacing w:before="120" w:beforeLines="50" w:after="0" w:line="360" w:lineRule="auto"/>
              <w:jc w:val="both"/>
              <w:rPr>
                <w:rFonts w:eastAsia="宋体"/>
                <w:b/>
                <w:bCs/>
                <w:sz w:val="24"/>
                <w:szCs w:val="24"/>
              </w:rPr>
            </w:pPr>
            <w:r>
              <w:rPr>
                <w:rFonts w:eastAsia="宋体"/>
                <w:b/>
                <w:bCs/>
                <w:sz w:val="24"/>
                <w:szCs w:val="24"/>
              </w:rPr>
              <w:t>2工程概况</w:t>
            </w:r>
          </w:p>
          <w:p>
            <w:pPr>
              <w:widowControl/>
              <w:spacing w:line="360" w:lineRule="auto"/>
              <w:jc w:val="left"/>
              <w:rPr>
                <w:b/>
                <w:bCs/>
                <w:kern w:val="0"/>
                <w:lang w:bidi="ar"/>
              </w:rPr>
            </w:pPr>
            <w:r>
              <w:rPr>
                <w:b/>
                <w:bCs/>
                <w:kern w:val="0"/>
                <w:lang w:bidi="ar"/>
              </w:rPr>
              <w:t>2.1燃气管道建设项目</w:t>
            </w:r>
          </w:p>
          <w:p>
            <w:pPr>
              <w:overflowPunct w:val="0"/>
              <w:spacing w:line="360" w:lineRule="auto"/>
              <w:rPr>
                <w:b/>
                <w:bCs/>
                <w:kern w:val="0"/>
                <w:lang w:bidi="ar"/>
              </w:rPr>
            </w:pPr>
            <w:r>
              <w:rPr>
                <w:b/>
                <w:bCs/>
                <w:kern w:val="0"/>
                <w:lang w:bidi="ar"/>
              </w:rPr>
              <w:t>2.1.1气质参数</w:t>
            </w:r>
          </w:p>
          <w:p>
            <w:pPr>
              <w:spacing w:before="74" w:line="220" w:lineRule="auto"/>
              <w:ind w:left="572"/>
              <w:rPr>
                <w:sz w:val="21"/>
                <w:szCs w:val="21"/>
              </w:rPr>
            </w:pPr>
            <w:r>
              <w:rPr>
                <w:spacing w:val="-2"/>
              </w:rPr>
              <w:t>天然气组分见表2-3</w:t>
            </w:r>
            <w:r>
              <w:rPr>
                <w:spacing w:val="-2"/>
                <w:sz w:val="21"/>
                <w:szCs w:val="21"/>
              </w:rPr>
              <w:t>：</w:t>
            </w:r>
          </w:p>
          <w:p>
            <w:pPr>
              <w:spacing w:before="195" w:line="221" w:lineRule="auto"/>
              <w:jc w:val="center"/>
              <w:rPr>
                <w:spacing w:val="-2"/>
                <w:sz w:val="21"/>
                <w:szCs w:val="21"/>
              </w:rPr>
            </w:pPr>
            <w:r>
              <w:rPr>
                <w:b/>
                <w:bCs/>
                <w:spacing w:val="-2"/>
                <w:sz w:val="21"/>
                <w:szCs w:val="21"/>
              </w:rPr>
              <w:t>表2-3       天然气组分表</w:t>
            </w:r>
          </w:p>
          <w:tbl>
            <w:tblPr>
              <w:tblStyle w:val="45"/>
              <w:tblpPr w:leftFromText="180" w:rightFromText="180" w:vertAnchor="text" w:horzAnchor="page" w:tblpXSpec="center" w:tblpY="61"/>
              <w:tblOverlap w:val="never"/>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98"/>
              <w:gridCol w:w="724"/>
              <w:gridCol w:w="723"/>
              <w:gridCol w:w="869"/>
              <w:gridCol w:w="692"/>
              <w:gridCol w:w="728"/>
              <w:gridCol w:w="739"/>
              <w:gridCol w:w="668"/>
              <w:gridCol w:w="676"/>
              <w:gridCol w:w="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0" w:type="pct"/>
                  <w:shd w:val="clear" w:color="auto" w:fill="auto"/>
                </w:tcPr>
                <w:p>
                  <w:pPr>
                    <w:jc w:val="center"/>
                    <w:rPr>
                      <w:sz w:val="21"/>
                      <w:szCs w:val="21"/>
                    </w:rPr>
                  </w:pPr>
                  <w:r>
                    <w:rPr>
                      <w:spacing w:val="-4"/>
                      <w:sz w:val="21"/>
                      <w:szCs w:val="21"/>
                    </w:rPr>
                    <w:t>名称</w:t>
                  </w:r>
                </w:p>
              </w:tc>
              <w:tc>
                <w:tcPr>
                  <w:tcW w:w="461" w:type="pct"/>
                  <w:shd w:val="clear" w:color="auto" w:fill="auto"/>
                </w:tcPr>
                <w:p>
                  <w:pPr>
                    <w:spacing w:before="178"/>
                    <w:ind w:left="220"/>
                    <w:jc w:val="center"/>
                    <w:rPr>
                      <w:sz w:val="21"/>
                      <w:szCs w:val="21"/>
                    </w:rPr>
                  </w:pPr>
                  <w:r>
                    <w:rPr>
                      <w:spacing w:val="1"/>
                      <w:sz w:val="21"/>
                      <w:szCs w:val="21"/>
                    </w:rPr>
                    <w:t>N2</w:t>
                  </w:r>
                </w:p>
              </w:tc>
              <w:tc>
                <w:tcPr>
                  <w:tcW w:w="460" w:type="pct"/>
                  <w:shd w:val="clear" w:color="auto" w:fill="auto"/>
                </w:tcPr>
                <w:p>
                  <w:pPr>
                    <w:spacing w:before="177"/>
                    <w:ind w:left="151"/>
                    <w:jc w:val="center"/>
                    <w:rPr>
                      <w:sz w:val="21"/>
                      <w:szCs w:val="21"/>
                    </w:rPr>
                  </w:pPr>
                  <w:r>
                    <w:rPr>
                      <w:spacing w:val="-3"/>
                      <w:sz w:val="21"/>
                      <w:szCs w:val="21"/>
                    </w:rPr>
                    <w:t>CO2</w:t>
                  </w:r>
                </w:p>
              </w:tc>
              <w:tc>
                <w:tcPr>
                  <w:tcW w:w="553" w:type="pct"/>
                  <w:shd w:val="clear" w:color="auto" w:fill="auto"/>
                </w:tcPr>
                <w:p>
                  <w:pPr>
                    <w:spacing w:before="177"/>
                    <w:ind w:left="311"/>
                    <w:jc w:val="center"/>
                    <w:rPr>
                      <w:sz w:val="21"/>
                      <w:szCs w:val="21"/>
                    </w:rPr>
                  </w:pPr>
                  <w:r>
                    <w:rPr>
                      <w:spacing w:val="-3"/>
                      <w:sz w:val="21"/>
                      <w:szCs w:val="21"/>
                    </w:rPr>
                    <w:t>C1</w:t>
                  </w:r>
                </w:p>
              </w:tc>
              <w:tc>
                <w:tcPr>
                  <w:tcW w:w="440" w:type="pct"/>
                  <w:shd w:val="clear" w:color="auto" w:fill="auto"/>
                </w:tcPr>
                <w:p>
                  <w:pPr>
                    <w:spacing w:before="177"/>
                    <w:ind w:left="223"/>
                    <w:jc w:val="center"/>
                    <w:rPr>
                      <w:sz w:val="21"/>
                      <w:szCs w:val="21"/>
                    </w:rPr>
                  </w:pPr>
                  <w:r>
                    <w:rPr>
                      <w:spacing w:val="-3"/>
                      <w:sz w:val="21"/>
                      <w:szCs w:val="21"/>
                    </w:rPr>
                    <w:t>C2</w:t>
                  </w:r>
                </w:p>
              </w:tc>
              <w:tc>
                <w:tcPr>
                  <w:tcW w:w="463" w:type="pct"/>
                  <w:shd w:val="clear" w:color="auto" w:fill="auto"/>
                </w:tcPr>
                <w:p>
                  <w:pPr>
                    <w:spacing w:before="177"/>
                    <w:ind w:left="241"/>
                    <w:jc w:val="center"/>
                    <w:rPr>
                      <w:sz w:val="21"/>
                      <w:szCs w:val="21"/>
                    </w:rPr>
                  </w:pPr>
                  <w:r>
                    <w:rPr>
                      <w:spacing w:val="-3"/>
                      <w:sz w:val="21"/>
                      <w:szCs w:val="21"/>
                    </w:rPr>
                    <w:t>C3</w:t>
                  </w:r>
                </w:p>
              </w:tc>
              <w:tc>
                <w:tcPr>
                  <w:tcW w:w="470" w:type="pct"/>
                  <w:shd w:val="clear" w:color="auto" w:fill="auto"/>
                </w:tcPr>
                <w:p>
                  <w:pPr>
                    <w:spacing w:before="173"/>
                    <w:ind w:left="216"/>
                    <w:jc w:val="center"/>
                    <w:rPr>
                      <w:sz w:val="21"/>
                      <w:szCs w:val="21"/>
                    </w:rPr>
                  </w:pPr>
                  <w:r>
                    <w:rPr>
                      <w:spacing w:val="-2"/>
                      <w:sz w:val="21"/>
                      <w:szCs w:val="21"/>
                    </w:rPr>
                    <w:t>iC4</w:t>
                  </w:r>
                </w:p>
              </w:tc>
              <w:tc>
                <w:tcPr>
                  <w:tcW w:w="425" w:type="pct"/>
                  <w:shd w:val="clear" w:color="auto" w:fill="auto"/>
                </w:tcPr>
                <w:p>
                  <w:pPr>
                    <w:spacing w:before="177"/>
                    <w:ind w:left="148"/>
                    <w:jc w:val="center"/>
                    <w:rPr>
                      <w:sz w:val="21"/>
                      <w:szCs w:val="21"/>
                    </w:rPr>
                  </w:pPr>
                  <w:r>
                    <w:rPr>
                      <w:spacing w:val="-1"/>
                      <w:sz w:val="21"/>
                      <w:szCs w:val="21"/>
                    </w:rPr>
                    <w:t>nC4</w:t>
                  </w:r>
                </w:p>
              </w:tc>
              <w:tc>
                <w:tcPr>
                  <w:tcW w:w="430" w:type="pct"/>
                  <w:shd w:val="clear" w:color="auto" w:fill="auto"/>
                </w:tcPr>
                <w:p>
                  <w:pPr>
                    <w:spacing w:before="173"/>
                    <w:ind w:left="182"/>
                    <w:jc w:val="center"/>
                    <w:rPr>
                      <w:sz w:val="21"/>
                      <w:szCs w:val="21"/>
                    </w:rPr>
                  </w:pPr>
                  <w:r>
                    <w:rPr>
                      <w:spacing w:val="-2"/>
                      <w:sz w:val="21"/>
                      <w:szCs w:val="21"/>
                    </w:rPr>
                    <w:t>iC5</w:t>
                  </w:r>
                </w:p>
              </w:tc>
              <w:tc>
                <w:tcPr>
                  <w:tcW w:w="403" w:type="pct"/>
                  <w:shd w:val="clear" w:color="auto" w:fill="auto"/>
                </w:tcPr>
                <w:p>
                  <w:pPr>
                    <w:spacing w:before="177"/>
                    <w:ind w:left="128"/>
                    <w:jc w:val="center"/>
                    <w:rPr>
                      <w:sz w:val="21"/>
                      <w:szCs w:val="21"/>
                    </w:rPr>
                  </w:pPr>
                  <w:r>
                    <w:rPr>
                      <w:spacing w:val="-1"/>
                      <w:sz w:val="21"/>
                      <w:szCs w:val="21"/>
                    </w:rPr>
                    <w:t>nC5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0" w:type="pct"/>
                  <w:shd w:val="clear" w:color="auto" w:fill="auto"/>
                </w:tcPr>
                <w:p>
                  <w:pPr>
                    <w:spacing w:before="132"/>
                    <w:ind w:left="114"/>
                    <w:jc w:val="center"/>
                    <w:rPr>
                      <w:sz w:val="21"/>
                      <w:szCs w:val="21"/>
                    </w:rPr>
                  </w:pPr>
                  <w:r>
                    <w:rPr>
                      <w:spacing w:val="-3"/>
                      <w:sz w:val="21"/>
                      <w:szCs w:val="21"/>
                    </w:rPr>
                    <w:t>组分</w:t>
                  </w:r>
                  <w:r>
                    <w:rPr>
                      <w:spacing w:val="-52"/>
                      <w:sz w:val="21"/>
                      <w:szCs w:val="21"/>
                    </w:rPr>
                    <w:t xml:space="preserve"> </w:t>
                  </w:r>
                  <w:r>
                    <w:rPr>
                      <w:spacing w:val="-3"/>
                      <w:sz w:val="21"/>
                      <w:szCs w:val="21"/>
                    </w:rPr>
                    <w:t>mol%</w:t>
                  </w:r>
                </w:p>
              </w:tc>
              <w:tc>
                <w:tcPr>
                  <w:tcW w:w="461" w:type="pct"/>
                  <w:shd w:val="clear" w:color="auto" w:fill="auto"/>
                </w:tcPr>
                <w:p>
                  <w:pPr>
                    <w:spacing w:before="176"/>
                    <w:ind w:left="108"/>
                    <w:jc w:val="center"/>
                    <w:rPr>
                      <w:sz w:val="21"/>
                      <w:szCs w:val="21"/>
                    </w:rPr>
                  </w:pPr>
                  <w:r>
                    <w:rPr>
                      <w:spacing w:val="-3"/>
                      <w:sz w:val="21"/>
                      <w:szCs w:val="21"/>
                    </w:rPr>
                    <w:t>0.85</w:t>
                  </w:r>
                </w:p>
              </w:tc>
              <w:tc>
                <w:tcPr>
                  <w:tcW w:w="460" w:type="pct"/>
                  <w:shd w:val="clear" w:color="auto" w:fill="auto"/>
                </w:tcPr>
                <w:p>
                  <w:pPr>
                    <w:spacing w:before="176"/>
                    <w:ind w:left="124"/>
                    <w:jc w:val="center"/>
                    <w:rPr>
                      <w:sz w:val="21"/>
                      <w:szCs w:val="21"/>
                    </w:rPr>
                  </w:pPr>
                  <w:r>
                    <w:rPr>
                      <w:spacing w:val="-7"/>
                      <w:sz w:val="21"/>
                      <w:szCs w:val="21"/>
                    </w:rPr>
                    <w:t>1.89</w:t>
                  </w:r>
                </w:p>
              </w:tc>
              <w:tc>
                <w:tcPr>
                  <w:tcW w:w="553" w:type="pct"/>
                  <w:shd w:val="clear" w:color="auto" w:fill="auto"/>
                </w:tcPr>
                <w:p>
                  <w:pPr>
                    <w:spacing w:before="176"/>
                    <w:ind w:left="108"/>
                    <w:jc w:val="center"/>
                    <w:rPr>
                      <w:sz w:val="21"/>
                      <w:szCs w:val="21"/>
                    </w:rPr>
                  </w:pPr>
                  <w:r>
                    <w:rPr>
                      <w:spacing w:val="-2"/>
                      <w:sz w:val="21"/>
                      <w:szCs w:val="21"/>
                    </w:rPr>
                    <w:t>92.55</w:t>
                  </w:r>
                </w:p>
              </w:tc>
              <w:tc>
                <w:tcPr>
                  <w:tcW w:w="440" w:type="pct"/>
                  <w:shd w:val="clear" w:color="auto" w:fill="auto"/>
                </w:tcPr>
                <w:p>
                  <w:pPr>
                    <w:spacing w:before="176"/>
                    <w:ind w:left="109"/>
                    <w:jc w:val="center"/>
                    <w:rPr>
                      <w:sz w:val="21"/>
                      <w:szCs w:val="21"/>
                    </w:rPr>
                  </w:pPr>
                  <w:r>
                    <w:rPr>
                      <w:spacing w:val="-3"/>
                      <w:sz w:val="21"/>
                      <w:szCs w:val="21"/>
                    </w:rPr>
                    <w:t>3.96</w:t>
                  </w:r>
                </w:p>
              </w:tc>
              <w:tc>
                <w:tcPr>
                  <w:tcW w:w="463" w:type="pct"/>
                  <w:shd w:val="clear" w:color="auto" w:fill="auto"/>
                </w:tcPr>
                <w:p>
                  <w:pPr>
                    <w:spacing w:before="176"/>
                    <w:ind w:left="109"/>
                    <w:jc w:val="center"/>
                    <w:rPr>
                      <w:sz w:val="21"/>
                      <w:szCs w:val="21"/>
                    </w:rPr>
                  </w:pPr>
                  <w:r>
                    <w:rPr>
                      <w:spacing w:val="-3"/>
                      <w:sz w:val="21"/>
                      <w:szCs w:val="21"/>
                    </w:rPr>
                    <w:t>0.34</w:t>
                  </w:r>
                </w:p>
              </w:tc>
              <w:tc>
                <w:tcPr>
                  <w:tcW w:w="470" w:type="pct"/>
                  <w:shd w:val="clear" w:color="auto" w:fill="auto"/>
                </w:tcPr>
                <w:p>
                  <w:pPr>
                    <w:spacing w:before="176"/>
                    <w:ind w:left="109"/>
                    <w:jc w:val="center"/>
                    <w:rPr>
                      <w:sz w:val="21"/>
                      <w:szCs w:val="21"/>
                    </w:rPr>
                  </w:pPr>
                  <w:r>
                    <w:rPr>
                      <w:spacing w:val="-3"/>
                      <w:sz w:val="21"/>
                      <w:szCs w:val="21"/>
                    </w:rPr>
                    <w:t>0.12</w:t>
                  </w:r>
                </w:p>
              </w:tc>
              <w:tc>
                <w:tcPr>
                  <w:tcW w:w="425" w:type="pct"/>
                  <w:shd w:val="clear" w:color="auto" w:fill="auto"/>
                </w:tcPr>
                <w:p>
                  <w:pPr>
                    <w:spacing w:before="176"/>
                    <w:ind w:left="110"/>
                    <w:jc w:val="center"/>
                    <w:rPr>
                      <w:sz w:val="21"/>
                      <w:szCs w:val="21"/>
                    </w:rPr>
                  </w:pPr>
                  <w:r>
                    <w:rPr>
                      <w:spacing w:val="-3"/>
                      <w:sz w:val="21"/>
                      <w:szCs w:val="21"/>
                    </w:rPr>
                    <w:t>0.09</w:t>
                  </w:r>
                </w:p>
              </w:tc>
              <w:tc>
                <w:tcPr>
                  <w:tcW w:w="430" w:type="pct"/>
                  <w:shd w:val="clear" w:color="auto" w:fill="auto"/>
                </w:tcPr>
                <w:p>
                  <w:pPr>
                    <w:spacing w:before="176"/>
                    <w:ind w:left="111"/>
                    <w:jc w:val="center"/>
                    <w:rPr>
                      <w:sz w:val="21"/>
                      <w:szCs w:val="21"/>
                    </w:rPr>
                  </w:pPr>
                  <w:r>
                    <w:rPr>
                      <w:spacing w:val="-3"/>
                      <w:sz w:val="21"/>
                      <w:szCs w:val="21"/>
                    </w:rPr>
                    <w:t>0.22</w:t>
                  </w:r>
                </w:p>
              </w:tc>
              <w:tc>
                <w:tcPr>
                  <w:tcW w:w="403" w:type="pct"/>
                  <w:shd w:val="clear" w:color="auto" w:fill="auto"/>
                </w:tcPr>
                <w:p>
                  <w:pPr>
                    <w:pStyle w:val="46"/>
                    <w:tabs>
                      <w:tab w:val="left" w:pos="335"/>
                    </w:tabs>
                    <w:spacing w:before="79"/>
                    <w:ind w:left="101"/>
                    <w:jc w:val="center"/>
                    <w:rPr>
                      <w:rFonts w:ascii="Times New Roman" w:hAnsi="Times New Roman" w:eastAsia="宋体" w:cs="Times New Roman"/>
                    </w:rPr>
                  </w:pPr>
                </w:p>
              </w:tc>
            </w:tr>
          </w:tbl>
          <w:p>
            <w:pPr>
              <w:spacing w:before="120" w:beforeLines="50" w:line="360" w:lineRule="auto"/>
              <w:ind w:firstLine="480" w:firstLineChars="200"/>
            </w:pPr>
            <w:r>
              <w:t>符合《天然气》GB17820-2012 所规定的II类气标准。</w:t>
            </w:r>
          </w:p>
          <w:p>
            <w:pPr>
              <w:spacing w:line="360" w:lineRule="auto"/>
              <w:ind w:firstLine="480" w:firstLineChars="200"/>
            </w:pPr>
            <w:r>
              <w:t>计算得天然气的主要物性参数如下：</w:t>
            </w:r>
          </w:p>
          <w:p>
            <w:pPr>
              <w:spacing w:line="360" w:lineRule="auto"/>
              <w:ind w:firstLine="480" w:firstLineChars="200"/>
            </w:pPr>
            <w:r>
              <w:t>低位热值（MJ/Nm³)：36.68。</w:t>
            </w:r>
          </w:p>
          <w:p>
            <w:pPr>
              <w:spacing w:line="360" w:lineRule="auto"/>
              <w:ind w:firstLine="480" w:firstLineChars="200"/>
            </w:pPr>
            <w:r>
              <w:t>密度（kg/N m³)：0.785。</w:t>
            </w:r>
          </w:p>
          <w:p>
            <w:pPr>
              <w:spacing w:line="360" w:lineRule="auto"/>
              <w:ind w:firstLine="480" w:firstLineChars="200"/>
            </w:pPr>
            <w:r>
              <w:t>天然气10MPa下烃露点(℃)：冬季≤5℃，夏季≤0℃。</w:t>
            </w:r>
          </w:p>
          <w:p>
            <w:pPr>
              <w:overflowPunct w:val="0"/>
              <w:spacing w:line="360" w:lineRule="auto"/>
              <w:ind w:firstLine="480" w:firstLineChars="200"/>
              <w:rPr>
                <w:b/>
                <w:bCs/>
                <w:kern w:val="0"/>
                <w:lang w:bidi="ar"/>
              </w:rPr>
            </w:pPr>
            <w:r>
              <w:t>天然气10MPa下水露点(℃)：冬季≤-5℃，夏季≤0℃。</w:t>
            </w:r>
          </w:p>
          <w:p>
            <w:pPr>
              <w:overflowPunct w:val="0"/>
              <w:spacing w:line="360" w:lineRule="auto"/>
              <w:rPr>
                <w:b/>
                <w:bCs/>
                <w:szCs w:val="22"/>
              </w:rPr>
            </w:pPr>
            <w:r>
              <w:rPr>
                <w:b/>
                <w:bCs/>
                <w:kern w:val="0"/>
                <w:lang w:bidi="ar"/>
              </w:rPr>
              <w:t>2.1.2</w:t>
            </w:r>
            <w:r>
              <w:rPr>
                <w:b/>
                <w:bCs/>
                <w:szCs w:val="22"/>
              </w:rPr>
              <w:t>管道设</w:t>
            </w:r>
            <w:r>
              <w:rPr>
                <w:rFonts w:hint="eastAsia"/>
                <w:b/>
                <w:bCs/>
                <w:szCs w:val="22"/>
                <w:lang w:eastAsia="zh-CN"/>
              </w:rPr>
              <w:t>计方</w:t>
            </w:r>
            <w:r>
              <w:rPr>
                <w:b/>
                <w:bCs/>
                <w:szCs w:val="22"/>
              </w:rPr>
              <w:t>案</w:t>
            </w:r>
          </w:p>
          <w:p>
            <w:pPr>
              <w:spacing w:line="360" w:lineRule="auto"/>
              <w:ind w:firstLine="482" w:firstLineChars="200"/>
            </w:pPr>
            <w:r>
              <w:rPr>
                <w:b/>
                <w:bCs/>
                <w:szCs w:val="22"/>
              </w:rPr>
              <w:t>（1）沿线地区等级划分</w:t>
            </w:r>
          </w:p>
          <w:p>
            <w:pPr>
              <w:spacing w:line="360" w:lineRule="auto"/>
              <w:ind w:firstLine="480" w:firstLineChars="200"/>
            </w:pPr>
            <w:r>
              <w:t>根据线路附近建筑物的密度，城镇发展规划等情况，管线沿途地区等级划分均为三级地区。</w:t>
            </w:r>
          </w:p>
          <w:p>
            <w:pPr>
              <w:spacing w:line="360" w:lineRule="auto"/>
              <w:ind w:firstLine="478" w:firstLineChars="200"/>
            </w:pPr>
            <w:r>
              <w:rPr>
                <w:b/>
                <w:bCs/>
                <w:spacing w:val="-1"/>
              </w:rPr>
              <w:t>（2）</w:t>
            </w:r>
            <w:r>
              <w:rPr>
                <w:b/>
                <w:bCs/>
                <w:szCs w:val="22"/>
              </w:rPr>
              <w:t>管材参数</w:t>
            </w:r>
          </w:p>
          <w:p>
            <w:pPr>
              <w:spacing w:line="360" w:lineRule="auto"/>
              <w:ind w:firstLine="480" w:firstLineChars="200"/>
            </w:pPr>
            <w:r>
              <w:t>输气管道管径为DN300，管材为L360M直缝高频电阻焊钢管。其标准应符合现行《石油天然气工业管线输送系统用钢管》（GB/T9711-2017）PSL2标准。</w:t>
            </w:r>
          </w:p>
          <w:p>
            <w:pPr>
              <w:spacing w:line="360" w:lineRule="auto"/>
              <w:ind w:firstLine="480" w:firstLineChars="200"/>
            </w:pPr>
            <w:r>
              <w:t>管线布置严格按照《城镇燃气设计规范》（GB50028-2006）规定的安全间距要求（聚乙烯燃气管道热力管道的净距应按国家现行标准《聚乙烯燃气管道工程技术标准》（CJJ63-2018）执行。</w:t>
            </w:r>
          </w:p>
          <w:p>
            <w:pPr>
              <w:spacing w:line="360" w:lineRule="auto"/>
              <w:ind w:firstLine="482" w:firstLineChars="200"/>
              <w:rPr>
                <w:b/>
                <w:bCs/>
              </w:rPr>
            </w:pPr>
            <w:r>
              <w:rPr>
                <w:b/>
                <w:bCs/>
              </w:rPr>
              <w:t>（3）压力管道特性</w:t>
            </w:r>
          </w:p>
          <w:p>
            <w:pPr>
              <w:pStyle w:val="46"/>
              <w:spacing w:line="360" w:lineRule="auto"/>
              <w:ind w:firstLine="480" w:firstLineChars="200"/>
              <w:rPr>
                <w:rFonts w:ascii="Times New Roman" w:hAnsi="Times New Roman" w:cs="Times New Roman"/>
                <w:lang w:eastAsia="zh-CN"/>
              </w:rPr>
            </w:pPr>
            <w:r>
              <w:rPr>
                <w:rFonts w:ascii="Times New Roman" w:hAnsi="Times New Roman" w:cs="Times New Roman"/>
                <w:sz w:val="24"/>
                <w:szCs w:val="24"/>
                <w:lang w:eastAsia="zh-CN"/>
              </w:rPr>
              <w:t>项目管道压力特性详见下表。</w:t>
            </w:r>
          </w:p>
          <w:p>
            <w:pPr>
              <w:ind w:firstLine="422" w:firstLineChars="200"/>
              <w:jc w:val="center"/>
              <w:rPr>
                <w:b/>
                <w:bCs/>
                <w:sz w:val="21"/>
                <w:szCs w:val="21"/>
              </w:rPr>
            </w:pPr>
            <w:r>
              <w:rPr>
                <w:b/>
                <w:bCs/>
                <w:sz w:val="21"/>
                <w:szCs w:val="21"/>
              </w:rPr>
              <w:t>表2-4     压力管道特性表</w:t>
            </w:r>
          </w:p>
          <w:tbl>
            <w:tblPr>
              <w:tblStyle w:val="45"/>
              <w:tblW w:w="4998" w:type="pct"/>
              <w:tblInd w:w="2"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674"/>
              <w:gridCol w:w="860"/>
              <w:gridCol w:w="655"/>
              <w:gridCol w:w="860"/>
              <w:gridCol w:w="736"/>
              <w:gridCol w:w="1059"/>
              <w:gridCol w:w="878"/>
              <w:gridCol w:w="747"/>
              <w:gridCol w:w="1384"/>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5" w:type="pct"/>
                  <w:vMerge w:val="restart"/>
                  <w:tcBorders>
                    <w:bottom w:val="nil"/>
                  </w:tcBorders>
                  <w:vAlign w:val="center"/>
                </w:tcPr>
                <w:p>
                  <w:pPr>
                    <w:jc w:val="center"/>
                    <w:rPr>
                      <w:b/>
                      <w:bCs/>
                      <w:sz w:val="21"/>
                      <w:szCs w:val="21"/>
                    </w:rPr>
                  </w:pPr>
                  <w:r>
                    <w:rPr>
                      <w:b/>
                      <w:bCs/>
                      <w:sz w:val="21"/>
                      <w:szCs w:val="21"/>
                    </w:rPr>
                    <w:t>压力管 道类别</w:t>
                  </w:r>
                </w:p>
              </w:tc>
              <w:tc>
                <w:tcPr>
                  <w:tcW w:w="958" w:type="pct"/>
                  <w:gridSpan w:val="2"/>
                  <w:vAlign w:val="center"/>
                </w:tcPr>
                <w:p>
                  <w:pPr>
                    <w:jc w:val="center"/>
                    <w:rPr>
                      <w:b/>
                      <w:bCs/>
                      <w:sz w:val="21"/>
                      <w:szCs w:val="21"/>
                    </w:rPr>
                  </w:pPr>
                  <w:r>
                    <w:rPr>
                      <w:b/>
                      <w:bCs/>
                      <w:sz w:val="21"/>
                      <w:szCs w:val="21"/>
                    </w:rPr>
                    <w:t>工作参数</w:t>
                  </w:r>
                </w:p>
              </w:tc>
              <w:tc>
                <w:tcPr>
                  <w:tcW w:w="1012" w:type="pct"/>
                  <w:gridSpan w:val="2"/>
                  <w:vAlign w:val="center"/>
                </w:tcPr>
                <w:p>
                  <w:pPr>
                    <w:jc w:val="center"/>
                    <w:rPr>
                      <w:b/>
                      <w:bCs/>
                      <w:sz w:val="21"/>
                      <w:szCs w:val="21"/>
                    </w:rPr>
                  </w:pPr>
                  <w:r>
                    <w:rPr>
                      <w:b/>
                      <w:bCs/>
                      <w:sz w:val="21"/>
                      <w:szCs w:val="21"/>
                    </w:rPr>
                    <w:t>设计参数</w:t>
                  </w:r>
                </w:p>
              </w:tc>
              <w:tc>
                <w:tcPr>
                  <w:tcW w:w="679" w:type="pct"/>
                  <w:vMerge w:val="restart"/>
                  <w:tcBorders>
                    <w:bottom w:val="nil"/>
                  </w:tcBorders>
                  <w:vAlign w:val="center"/>
                </w:tcPr>
                <w:p>
                  <w:pPr>
                    <w:jc w:val="center"/>
                    <w:rPr>
                      <w:b/>
                      <w:bCs/>
                      <w:sz w:val="21"/>
                      <w:szCs w:val="21"/>
                    </w:rPr>
                  </w:pPr>
                  <w:r>
                    <w:rPr>
                      <w:b/>
                      <w:bCs/>
                      <w:sz w:val="21"/>
                      <w:szCs w:val="21"/>
                    </w:rPr>
                    <w:t>管道规格 （mm）</w:t>
                  </w:r>
                </w:p>
              </w:tc>
              <w:tc>
                <w:tcPr>
                  <w:tcW w:w="564" w:type="pct"/>
                  <w:vMerge w:val="restart"/>
                  <w:tcBorders>
                    <w:bottom w:val="nil"/>
                  </w:tcBorders>
                  <w:vAlign w:val="center"/>
                </w:tcPr>
                <w:p>
                  <w:pPr>
                    <w:jc w:val="center"/>
                    <w:rPr>
                      <w:b/>
                      <w:bCs/>
                      <w:sz w:val="21"/>
                      <w:szCs w:val="21"/>
                    </w:rPr>
                  </w:pPr>
                  <w:r>
                    <w:rPr>
                      <w:b/>
                      <w:bCs/>
                      <w:sz w:val="21"/>
                      <w:szCs w:val="21"/>
                    </w:rPr>
                    <w:t>公称直径 （mm）</w:t>
                  </w:r>
                </w:p>
              </w:tc>
              <w:tc>
                <w:tcPr>
                  <w:tcW w:w="481" w:type="pct"/>
                  <w:vMerge w:val="restart"/>
                  <w:tcBorders>
                    <w:bottom w:val="nil"/>
                  </w:tcBorders>
                  <w:vAlign w:val="center"/>
                </w:tcPr>
                <w:p>
                  <w:pPr>
                    <w:jc w:val="center"/>
                    <w:rPr>
                      <w:b/>
                      <w:bCs/>
                      <w:sz w:val="21"/>
                      <w:szCs w:val="21"/>
                    </w:rPr>
                  </w:pPr>
                  <w:r>
                    <w:rPr>
                      <w:b/>
                      <w:bCs/>
                      <w:sz w:val="21"/>
                      <w:szCs w:val="21"/>
                    </w:rPr>
                    <w:t>管道</w:t>
                  </w:r>
                </w:p>
                <w:p>
                  <w:pPr>
                    <w:jc w:val="center"/>
                    <w:rPr>
                      <w:b/>
                      <w:bCs/>
                      <w:sz w:val="21"/>
                      <w:szCs w:val="21"/>
                    </w:rPr>
                  </w:pPr>
                  <w:r>
                    <w:rPr>
                      <w:b/>
                      <w:bCs/>
                      <w:sz w:val="21"/>
                      <w:szCs w:val="21"/>
                    </w:rPr>
                    <w:t>材质</w:t>
                  </w:r>
                </w:p>
              </w:tc>
              <w:tc>
                <w:tcPr>
                  <w:tcW w:w="866" w:type="pct"/>
                  <w:vMerge w:val="restart"/>
                  <w:tcBorders>
                    <w:bottom w:val="nil"/>
                  </w:tcBorders>
                  <w:vAlign w:val="center"/>
                </w:tcPr>
                <w:p>
                  <w:pPr>
                    <w:jc w:val="center"/>
                    <w:rPr>
                      <w:b/>
                      <w:bCs/>
                      <w:sz w:val="21"/>
                      <w:szCs w:val="21"/>
                    </w:rPr>
                  </w:pPr>
                  <w:r>
                    <w:rPr>
                      <w:b/>
                      <w:bCs/>
                      <w:sz w:val="21"/>
                      <w:szCs w:val="21"/>
                    </w:rPr>
                    <w:t>执行标准</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5" w:type="pct"/>
                  <w:vMerge w:val="continue"/>
                  <w:tcBorders>
                    <w:top w:val="nil"/>
                  </w:tcBorders>
                  <w:vAlign w:val="center"/>
                </w:tcPr>
                <w:p>
                  <w:pPr>
                    <w:pStyle w:val="46"/>
                    <w:jc w:val="center"/>
                    <w:rPr>
                      <w:rFonts w:ascii="Times New Roman" w:hAnsi="Times New Roman" w:eastAsia="宋体" w:cs="Times New Roman"/>
                      <w:lang w:eastAsia="zh-CN"/>
                    </w:rPr>
                  </w:pPr>
                </w:p>
              </w:tc>
              <w:tc>
                <w:tcPr>
                  <w:tcW w:w="535" w:type="pct"/>
                  <w:vAlign w:val="center"/>
                </w:tcPr>
                <w:p>
                  <w:pPr>
                    <w:jc w:val="center"/>
                    <w:rPr>
                      <w:b/>
                      <w:bCs/>
                      <w:sz w:val="21"/>
                      <w:szCs w:val="21"/>
                    </w:rPr>
                  </w:pPr>
                  <w:r>
                    <w:rPr>
                      <w:b/>
                      <w:bCs/>
                      <w:sz w:val="21"/>
                      <w:szCs w:val="21"/>
                    </w:rPr>
                    <w:t>表压（MPa）</w:t>
                  </w:r>
                </w:p>
              </w:tc>
              <w:tc>
                <w:tcPr>
                  <w:tcW w:w="423" w:type="pct"/>
                  <w:vAlign w:val="center"/>
                </w:tcPr>
                <w:p>
                  <w:pPr>
                    <w:jc w:val="center"/>
                    <w:rPr>
                      <w:b/>
                      <w:bCs/>
                      <w:sz w:val="21"/>
                      <w:szCs w:val="21"/>
                    </w:rPr>
                  </w:pPr>
                  <w:r>
                    <w:rPr>
                      <w:b/>
                      <w:bCs/>
                      <w:sz w:val="21"/>
                      <w:szCs w:val="21"/>
                    </w:rPr>
                    <w:t>温度</w:t>
                  </w:r>
                </w:p>
                <w:p>
                  <w:pPr>
                    <w:jc w:val="center"/>
                    <w:rPr>
                      <w:b/>
                      <w:bCs/>
                      <w:sz w:val="21"/>
                      <w:szCs w:val="21"/>
                    </w:rPr>
                  </w:pPr>
                  <w:r>
                    <w:rPr>
                      <w:b/>
                      <w:bCs/>
                      <w:sz w:val="21"/>
                      <w:szCs w:val="21"/>
                    </w:rPr>
                    <w:t>(℃)</w:t>
                  </w:r>
                </w:p>
              </w:tc>
              <w:tc>
                <w:tcPr>
                  <w:tcW w:w="538" w:type="pct"/>
                  <w:vAlign w:val="center"/>
                </w:tcPr>
                <w:p>
                  <w:pPr>
                    <w:jc w:val="center"/>
                    <w:rPr>
                      <w:b/>
                      <w:bCs/>
                      <w:sz w:val="21"/>
                      <w:szCs w:val="21"/>
                    </w:rPr>
                  </w:pPr>
                  <w:r>
                    <w:rPr>
                      <w:b/>
                      <w:bCs/>
                      <w:sz w:val="21"/>
                      <w:szCs w:val="21"/>
                    </w:rPr>
                    <w:t>表压  （MPa）</w:t>
                  </w:r>
                </w:p>
              </w:tc>
              <w:tc>
                <w:tcPr>
                  <w:tcW w:w="473" w:type="pct"/>
                  <w:vAlign w:val="center"/>
                </w:tcPr>
                <w:p>
                  <w:pPr>
                    <w:jc w:val="center"/>
                    <w:rPr>
                      <w:b/>
                      <w:bCs/>
                      <w:sz w:val="21"/>
                      <w:szCs w:val="21"/>
                    </w:rPr>
                  </w:pPr>
                  <w:r>
                    <w:rPr>
                      <w:b/>
                      <w:bCs/>
                      <w:sz w:val="21"/>
                      <w:szCs w:val="21"/>
                    </w:rPr>
                    <w:t>温度</w:t>
                  </w:r>
                </w:p>
                <w:p>
                  <w:pPr>
                    <w:jc w:val="center"/>
                    <w:rPr>
                      <w:b/>
                      <w:bCs/>
                      <w:sz w:val="21"/>
                      <w:szCs w:val="21"/>
                    </w:rPr>
                  </w:pPr>
                  <w:r>
                    <w:rPr>
                      <w:b/>
                      <w:bCs/>
                      <w:sz w:val="21"/>
                      <w:szCs w:val="21"/>
                    </w:rPr>
                    <w:t>(℃)</w:t>
                  </w:r>
                </w:p>
              </w:tc>
              <w:tc>
                <w:tcPr>
                  <w:tcW w:w="679" w:type="pct"/>
                  <w:vMerge w:val="continue"/>
                  <w:tcBorders>
                    <w:top w:val="nil"/>
                  </w:tcBorders>
                  <w:vAlign w:val="center"/>
                </w:tcPr>
                <w:p>
                  <w:pPr>
                    <w:pStyle w:val="46"/>
                    <w:jc w:val="center"/>
                    <w:rPr>
                      <w:rFonts w:ascii="Times New Roman" w:hAnsi="Times New Roman" w:eastAsia="宋体" w:cs="Times New Roman"/>
                      <w:lang w:eastAsia="zh-CN"/>
                    </w:rPr>
                  </w:pPr>
                </w:p>
              </w:tc>
              <w:tc>
                <w:tcPr>
                  <w:tcW w:w="564" w:type="pct"/>
                  <w:vMerge w:val="continue"/>
                  <w:tcBorders>
                    <w:top w:val="nil"/>
                  </w:tcBorders>
                  <w:vAlign w:val="center"/>
                </w:tcPr>
                <w:p>
                  <w:pPr>
                    <w:pStyle w:val="46"/>
                    <w:jc w:val="center"/>
                    <w:rPr>
                      <w:rFonts w:ascii="Times New Roman" w:hAnsi="Times New Roman" w:eastAsia="宋体" w:cs="Times New Roman"/>
                      <w:lang w:eastAsia="zh-CN"/>
                    </w:rPr>
                  </w:pPr>
                </w:p>
              </w:tc>
              <w:tc>
                <w:tcPr>
                  <w:tcW w:w="481" w:type="pct"/>
                  <w:vMerge w:val="continue"/>
                  <w:tcBorders>
                    <w:top w:val="nil"/>
                  </w:tcBorders>
                  <w:vAlign w:val="center"/>
                </w:tcPr>
                <w:p>
                  <w:pPr>
                    <w:pStyle w:val="46"/>
                    <w:jc w:val="center"/>
                    <w:rPr>
                      <w:rFonts w:ascii="Times New Roman" w:hAnsi="Times New Roman" w:eastAsia="宋体" w:cs="Times New Roman"/>
                      <w:lang w:eastAsia="zh-CN"/>
                    </w:rPr>
                  </w:pPr>
                </w:p>
              </w:tc>
              <w:tc>
                <w:tcPr>
                  <w:tcW w:w="866" w:type="pct"/>
                  <w:vMerge w:val="continue"/>
                  <w:tcBorders>
                    <w:top w:val="nil"/>
                  </w:tcBorders>
                  <w:vAlign w:val="center"/>
                </w:tcPr>
                <w:p>
                  <w:pPr>
                    <w:pStyle w:val="46"/>
                    <w:jc w:val="center"/>
                    <w:rPr>
                      <w:rFonts w:ascii="Times New Roman" w:hAnsi="Times New Roman" w:eastAsia="宋体" w:cs="Times New Roman"/>
                      <w:lang w:eastAsia="zh-CN"/>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435" w:type="pct"/>
                  <w:vAlign w:val="center"/>
                </w:tcPr>
                <w:p>
                  <w:pPr>
                    <w:jc w:val="center"/>
                    <w:rPr>
                      <w:sz w:val="21"/>
                      <w:szCs w:val="21"/>
                    </w:rPr>
                  </w:pPr>
                  <w:r>
                    <w:rPr>
                      <w:sz w:val="21"/>
                      <w:szCs w:val="21"/>
                    </w:rPr>
                    <w:t>GA1</w:t>
                  </w:r>
                </w:p>
              </w:tc>
              <w:tc>
                <w:tcPr>
                  <w:tcW w:w="535" w:type="pct"/>
                  <w:vAlign w:val="center"/>
                </w:tcPr>
                <w:p>
                  <w:pPr>
                    <w:jc w:val="center"/>
                    <w:rPr>
                      <w:sz w:val="21"/>
                      <w:szCs w:val="21"/>
                    </w:rPr>
                  </w:pPr>
                  <w:r>
                    <w:rPr>
                      <w:sz w:val="21"/>
                      <w:szCs w:val="21"/>
                    </w:rPr>
                    <w:t>2.5~3.8</w:t>
                  </w:r>
                </w:p>
              </w:tc>
              <w:tc>
                <w:tcPr>
                  <w:tcW w:w="423" w:type="pct"/>
                  <w:vAlign w:val="center"/>
                </w:tcPr>
                <w:p>
                  <w:pPr>
                    <w:jc w:val="center"/>
                    <w:rPr>
                      <w:sz w:val="21"/>
                      <w:szCs w:val="21"/>
                    </w:rPr>
                  </w:pPr>
                  <w:r>
                    <w:rPr>
                      <w:sz w:val="21"/>
                      <w:szCs w:val="21"/>
                    </w:rPr>
                    <w:t>常温</w:t>
                  </w:r>
                </w:p>
              </w:tc>
              <w:tc>
                <w:tcPr>
                  <w:tcW w:w="538" w:type="pct"/>
                  <w:vAlign w:val="center"/>
                </w:tcPr>
                <w:p>
                  <w:pPr>
                    <w:jc w:val="center"/>
                    <w:rPr>
                      <w:sz w:val="21"/>
                      <w:szCs w:val="21"/>
                    </w:rPr>
                  </w:pPr>
                  <w:r>
                    <w:rPr>
                      <w:sz w:val="21"/>
                      <w:szCs w:val="21"/>
                    </w:rPr>
                    <w:t>4.0</w:t>
                  </w:r>
                </w:p>
              </w:tc>
              <w:tc>
                <w:tcPr>
                  <w:tcW w:w="473" w:type="pct"/>
                  <w:vAlign w:val="center"/>
                </w:tcPr>
                <w:p>
                  <w:pPr>
                    <w:jc w:val="center"/>
                    <w:rPr>
                      <w:sz w:val="21"/>
                      <w:szCs w:val="21"/>
                    </w:rPr>
                  </w:pPr>
                  <w:r>
                    <w:rPr>
                      <w:sz w:val="21"/>
                      <w:szCs w:val="21"/>
                    </w:rPr>
                    <w:t>常温</w:t>
                  </w:r>
                </w:p>
              </w:tc>
              <w:tc>
                <w:tcPr>
                  <w:tcW w:w="679" w:type="pct"/>
                  <w:vAlign w:val="center"/>
                </w:tcPr>
                <w:p>
                  <w:pPr>
                    <w:jc w:val="center"/>
                    <w:rPr>
                      <w:sz w:val="21"/>
                      <w:szCs w:val="21"/>
                    </w:rPr>
                  </w:pPr>
                  <w:r>
                    <w:rPr>
                      <w:sz w:val="21"/>
                      <w:szCs w:val="21"/>
                    </w:rPr>
                    <w:t>D323x9.0</w:t>
                  </w:r>
                </w:p>
              </w:tc>
              <w:tc>
                <w:tcPr>
                  <w:tcW w:w="564" w:type="pct"/>
                  <w:vAlign w:val="center"/>
                </w:tcPr>
                <w:p>
                  <w:pPr>
                    <w:jc w:val="center"/>
                    <w:rPr>
                      <w:sz w:val="21"/>
                      <w:szCs w:val="21"/>
                    </w:rPr>
                  </w:pPr>
                  <w:r>
                    <w:rPr>
                      <w:sz w:val="21"/>
                      <w:szCs w:val="21"/>
                    </w:rPr>
                    <w:t>DN300</w:t>
                  </w:r>
                </w:p>
              </w:tc>
              <w:tc>
                <w:tcPr>
                  <w:tcW w:w="481" w:type="pct"/>
                  <w:vAlign w:val="center"/>
                </w:tcPr>
                <w:p>
                  <w:pPr>
                    <w:jc w:val="center"/>
                    <w:rPr>
                      <w:sz w:val="21"/>
                      <w:szCs w:val="21"/>
                    </w:rPr>
                  </w:pPr>
                  <w:r>
                    <w:rPr>
                      <w:sz w:val="21"/>
                      <w:szCs w:val="21"/>
                    </w:rPr>
                    <w:t>L360M</w:t>
                  </w:r>
                </w:p>
              </w:tc>
              <w:tc>
                <w:tcPr>
                  <w:tcW w:w="866" w:type="pct"/>
                  <w:vAlign w:val="center"/>
                </w:tcPr>
                <w:p>
                  <w:pPr>
                    <w:jc w:val="center"/>
                    <w:rPr>
                      <w:sz w:val="21"/>
                      <w:szCs w:val="21"/>
                    </w:rPr>
                  </w:pPr>
                  <w:r>
                    <w:rPr>
                      <w:sz w:val="21"/>
                      <w:szCs w:val="21"/>
                    </w:rPr>
                    <w:t>GB/T9711-2017</w:t>
                  </w:r>
                </w:p>
              </w:tc>
            </w:tr>
          </w:tbl>
          <w:p>
            <w:pPr>
              <w:spacing w:before="120" w:beforeLines="50" w:line="360" w:lineRule="auto"/>
              <w:ind w:firstLine="482" w:firstLineChars="200"/>
              <w:rPr>
                <w:b/>
                <w:bCs/>
              </w:rPr>
            </w:pPr>
            <w:r>
              <w:rPr>
                <w:b/>
                <w:bCs/>
              </w:rPr>
              <w:t>（4）管道壁厚</w:t>
            </w:r>
          </w:p>
          <w:p>
            <w:pPr>
              <w:pStyle w:val="19"/>
              <w:autoSpaceDE w:val="0"/>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rPr>
              <w:t>本工程所在地区按三级地区设计，根据《输气管道工程设计规范》(GB50251-2015）的规定，钢管壁厚与设计压力、钢管外径、钢管的强度等级、设计系数有关。三级地区管道壁厚采用9mm，三级地区热煨弯管和冷弯弯管采用9mm壁厚的钢管制作。冷弯弯管的制作执行规范《钢制管道冷弯管制作及验收规范》SY/T4127-2018，热煨弯管的制作执行规范《油气输送感应加热弯管》SY/T5257-2012。</w:t>
            </w:r>
          </w:p>
          <w:p>
            <w:pPr>
              <w:spacing w:line="360" w:lineRule="auto"/>
              <w:ind w:firstLine="482" w:firstLineChars="200"/>
              <w:rPr>
                <w:b/>
                <w:bCs/>
              </w:rPr>
            </w:pPr>
            <w:r>
              <w:rPr>
                <w:b/>
                <w:bCs/>
              </w:rPr>
              <w:t>（5）管道防腐</w:t>
            </w:r>
          </w:p>
          <w:p>
            <w:pPr>
              <w:spacing w:line="360" w:lineRule="auto"/>
              <w:ind w:firstLine="480" w:firstLineChars="200"/>
            </w:pPr>
            <w:r>
              <w:t>根据工程设计，本项目管道防腐要求如下：</w:t>
            </w:r>
          </w:p>
          <w:p>
            <w:pPr>
              <w:spacing w:line="360" w:lineRule="auto"/>
              <w:ind w:firstLine="480" w:firstLineChars="200"/>
            </w:pPr>
            <w:r>
              <w:t>（1）管道防腐采用外防腐层+外加电流阴极保护的方式。外加电流阴极保护，接入原有外加电流保护系统，不在本次设计范围内。</w:t>
            </w:r>
          </w:p>
          <w:p>
            <w:pPr>
              <w:spacing w:line="360" w:lineRule="auto"/>
              <w:ind w:firstLine="480" w:firstLineChars="200"/>
            </w:pPr>
            <w:r>
              <w:t>（2）外防腐层采用常温挤压聚乙烯三层结构，防腐层厚度采用加强级。防腐层总厚度按照《埋地钢质管道聚乙烯防腐层》GB/T23257-2017中4.2执行，防腐层厚度不小于2.9mm。</w:t>
            </w:r>
          </w:p>
          <w:p>
            <w:pPr>
              <w:spacing w:line="360" w:lineRule="auto"/>
              <w:ind w:firstLine="480" w:firstLineChars="200"/>
              <w:rPr>
                <w:kern w:val="0"/>
              </w:rPr>
            </w:pPr>
            <w:r>
              <w:t>（3）管件及补口采用无溶剂环氧树脂底漆+辐射交联聚乙烯热收缩套（带）三层结构搭接的防腐结构，搭接宽度不小于100mm。热收缩套宽度为 500mm。热收缩套基材厚度≥1.5mm，胶层厚度≥1.0mm。补伤片的周向搭接宽度不应小于80mm，且周向搭接必须在管道顶部。热收缩套（带）应符合《埋地钢质管道聚乙烯防腐层》GB/T23257-2017 的要求。</w:t>
            </w:r>
          </w:p>
          <w:p>
            <w:pPr>
              <w:spacing w:line="360" w:lineRule="auto"/>
              <w:ind w:firstLine="480" w:firstLineChars="200"/>
            </w:pPr>
            <w:r>
              <w:t>（4）补口部位的表面除锈等级应达到《涂覆涂料前钢材表面处理表面清洁度的目视评定第1部分：未涂覆过的钢材表面和全面清除原有涂层后的钢材表面的锈蚀等级和处理等级》（GB/T 8923.1-2011）规定的Sa21/2级。</w:t>
            </w:r>
          </w:p>
          <w:p>
            <w:pPr>
              <w:spacing w:line="360" w:lineRule="auto"/>
              <w:ind w:firstLine="480" w:firstLineChars="200"/>
            </w:pPr>
            <w:r>
              <w:t>（6）管道下沟前必须对防腐层进行100%的外观检查，回填前应进行 100%电火花检漏，3PE防腐层检漏电压为25kV，无漏点为合格；补口处检漏电压为15kv，无漏点为合格。管道回填后必须对防腐层完整性进行全线检查，不合格必须返工处理直至合格。</w:t>
            </w:r>
          </w:p>
          <w:p>
            <w:pPr>
              <w:overflowPunct w:val="0"/>
              <w:adjustRightInd w:val="0"/>
              <w:snapToGrid w:val="0"/>
              <w:spacing w:line="360" w:lineRule="auto"/>
              <w:rPr>
                <w:b/>
                <w:bCs/>
                <w:kern w:val="28"/>
              </w:rPr>
            </w:pPr>
            <w:r>
              <w:rPr>
                <w:b/>
                <w:bCs/>
                <w:kern w:val="28"/>
                <w:lang w:bidi="ar"/>
              </w:rPr>
              <w:t>2.1.7劳动定员及工作制度</w:t>
            </w:r>
          </w:p>
          <w:p>
            <w:pPr>
              <w:overflowPunct w:val="0"/>
              <w:spacing w:line="360" w:lineRule="auto"/>
              <w:ind w:firstLine="480" w:firstLineChars="200"/>
              <w:rPr>
                <w:kern w:val="28"/>
              </w:rPr>
            </w:pPr>
            <w:r>
              <w:rPr>
                <w:kern w:val="28"/>
                <w:lang w:bidi="ar"/>
              </w:rPr>
              <w:t>本项目属于</w:t>
            </w:r>
            <w:r>
              <w:rPr>
                <w:lang w:bidi="ar"/>
              </w:rPr>
              <w:t>天然气管道建设工程</w:t>
            </w:r>
            <w:r>
              <w:rPr>
                <w:kern w:val="28"/>
                <w:lang w:bidi="ar"/>
              </w:rPr>
              <w:t>，施工期人员为20人，运营期管理人员为天然气公司内部人员，不新增管理人员，不另设管理机构。</w:t>
            </w:r>
          </w:p>
          <w:p>
            <w:pPr>
              <w:overflowPunct w:val="0"/>
              <w:adjustRightInd w:val="0"/>
              <w:snapToGrid w:val="0"/>
              <w:spacing w:line="360" w:lineRule="auto"/>
              <w:rPr>
                <w:b/>
                <w:bCs/>
                <w:kern w:val="28"/>
                <w:lang w:bidi="ar"/>
              </w:rPr>
            </w:pPr>
            <w:r>
              <w:rPr>
                <w:b/>
                <w:bCs/>
                <w:kern w:val="28"/>
                <w:lang w:bidi="ar"/>
              </w:rPr>
              <w:t>2.1.8主要工程量</w:t>
            </w:r>
          </w:p>
          <w:p>
            <w:pPr>
              <w:overflowPunct w:val="0"/>
              <w:spacing w:line="360" w:lineRule="auto"/>
              <w:ind w:firstLine="482" w:firstLineChars="200"/>
              <w:rPr>
                <w:b/>
                <w:bCs/>
                <w:kern w:val="28"/>
                <w:lang w:bidi="ar"/>
              </w:rPr>
            </w:pPr>
            <w:r>
              <w:rPr>
                <w:b/>
                <w:bCs/>
                <w:kern w:val="28"/>
                <w:lang w:bidi="ar"/>
              </w:rPr>
              <w:t>（1）临时弃土、弃渣量</w:t>
            </w:r>
          </w:p>
          <w:p>
            <w:pPr>
              <w:overflowPunct w:val="0"/>
              <w:spacing w:line="360" w:lineRule="auto"/>
              <w:ind w:firstLine="480" w:firstLineChars="200"/>
              <w:rPr>
                <w:kern w:val="28"/>
                <w:sz w:val="21"/>
                <w:szCs w:val="21"/>
              </w:rPr>
            </w:pPr>
            <w:r>
              <w:rPr>
                <w:kern w:val="28"/>
                <w:lang w:bidi="ar"/>
              </w:rPr>
              <w:t>根据土石方平衡计算，本工程在开挖槽、坑、沟过程土方开挖总量5142.52m</w:t>
            </w:r>
            <w:r>
              <w:rPr>
                <w:kern w:val="28"/>
                <w:vertAlign w:val="superscript"/>
                <w:lang w:bidi="ar"/>
              </w:rPr>
              <w:t>3</w:t>
            </w:r>
            <w:r>
              <w:rPr>
                <w:kern w:val="28"/>
                <w:lang w:bidi="ar"/>
              </w:rPr>
              <w:t>；回填总量5111.07m</w:t>
            </w:r>
            <w:r>
              <w:rPr>
                <w:kern w:val="28"/>
                <w:vertAlign w:val="superscript"/>
                <w:lang w:bidi="ar"/>
              </w:rPr>
              <w:t>3</w:t>
            </w:r>
            <w:r>
              <w:rPr>
                <w:kern w:val="28"/>
                <w:lang w:bidi="ar"/>
              </w:rPr>
              <w:t>，无外借，废弃31.45m</w:t>
            </w:r>
            <w:r>
              <w:rPr>
                <w:kern w:val="28"/>
                <w:vertAlign w:val="superscript"/>
                <w:lang w:bidi="ar"/>
              </w:rPr>
              <w:t>3</w:t>
            </w:r>
            <w:r>
              <w:rPr>
                <w:kern w:val="28"/>
                <w:lang w:bidi="ar"/>
              </w:rPr>
              <w:t>，具体土方量工程量详见下表。</w:t>
            </w:r>
          </w:p>
          <w:p>
            <w:pPr>
              <w:overflowPunct w:val="0"/>
              <w:jc w:val="center"/>
              <w:rPr>
                <w:b/>
                <w:bCs/>
                <w:sz w:val="21"/>
                <w:szCs w:val="21"/>
                <w:vertAlign w:val="superscript"/>
                <w:lang w:bidi="ar"/>
              </w:rPr>
            </w:pPr>
            <w:r>
              <w:rPr>
                <w:b/>
                <w:bCs/>
                <w:kern w:val="28"/>
                <w:sz w:val="21"/>
                <w:szCs w:val="21"/>
                <w:lang w:bidi="ar"/>
              </w:rPr>
              <w:t>表2-5      工程土石方平衡表</w:t>
            </w:r>
            <w:r>
              <w:rPr>
                <w:sz w:val="21"/>
                <w:szCs w:val="21"/>
                <w:lang w:bidi="ar"/>
              </w:rPr>
              <w:t xml:space="preserve"> </w:t>
            </w:r>
            <w:r>
              <w:rPr>
                <w:b/>
                <w:bCs/>
                <w:sz w:val="21"/>
                <w:szCs w:val="21"/>
                <w:lang w:bidi="ar"/>
              </w:rPr>
              <w:t xml:space="preserve"> 单位：m</w:t>
            </w:r>
            <w:r>
              <w:rPr>
                <w:b/>
                <w:bCs/>
                <w:sz w:val="21"/>
                <w:szCs w:val="21"/>
                <w:vertAlign w:val="superscript"/>
                <w:lang w:bidi="ar"/>
              </w:rPr>
              <w:t>3</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574"/>
              <w:gridCol w:w="1048"/>
              <w:gridCol w:w="1075"/>
              <w:gridCol w:w="979"/>
              <w:gridCol w:w="903"/>
              <w:gridCol w:w="227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3" w:hRule="atLeast"/>
                <w:jc w:val="center"/>
              </w:trPr>
              <w:tc>
                <w:tcPr>
                  <w:tcW w:w="1002" w:type="pct"/>
                  <w:vMerge w:val="restar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分区或分段</w:t>
                  </w:r>
                </w:p>
              </w:tc>
              <w:tc>
                <w:tcPr>
                  <w:tcW w:w="667" w:type="pct"/>
                  <w:vMerge w:val="restar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开挖量</w:t>
                  </w:r>
                </w:p>
              </w:tc>
              <w:tc>
                <w:tcPr>
                  <w:tcW w:w="684" w:type="pct"/>
                  <w:vMerge w:val="restar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回填量</w:t>
                  </w:r>
                </w:p>
              </w:tc>
              <w:tc>
                <w:tcPr>
                  <w:tcW w:w="623" w:type="pct"/>
                  <w:vMerge w:val="restar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利用量</w:t>
                  </w:r>
                </w:p>
              </w:tc>
              <w:tc>
                <w:tcPr>
                  <w:tcW w:w="2022" w:type="pct"/>
                  <w:gridSpan w:val="2"/>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废弃</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5" w:hRule="atLeast"/>
                <w:jc w:val="center"/>
              </w:trPr>
              <w:tc>
                <w:tcPr>
                  <w:tcW w:w="1002" w:type="pct"/>
                  <w:vMerge w:val="continue"/>
                  <w:tcBorders>
                    <w:tl2br w:val="nil"/>
                    <w:tr2bl w:val="nil"/>
                  </w:tcBorders>
                  <w:shd w:val="clear" w:color="auto" w:fill="auto"/>
                  <w:vAlign w:val="center"/>
                </w:tcPr>
                <w:p>
                  <w:pPr>
                    <w:widowControl/>
                    <w:adjustRightInd w:val="0"/>
                    <w:snapToGrid w:val="0"/>
                    <w:jc w:val="center"/>
                    <w:rPr>
                      <w:b/>
                      <w:bCs/>
                      <w:sz w:val="21"/>
                      <w:szCs w:val="21"/>
                    </w:rPr>
                  </w:pPr>
                </w:p>
              </w:tc>
              <w:tc>
                <w:tcPr>
                  <w:tcW w:w="667" w:type="pct"/>
                  <w:vMerge w:val="continue"/>
                  <w:tcBorders>
                    <w:tl2br w:val="nil"/>
                    <w:tr2bl w:val="nil"/>
                  </w:tcBorders>
                  <w:shd w:val="clear" w:color="auto" w:fill="auto"/>
                  <w:vAlign w:val="center"/>
                </w:tcPr>
                <w:p>
                  <w:pPr>
                    <w:widowControl/>
                    <w:adjustRightInd w:val="0"/>
                    <w:snapToGrid w:val="0"/>
                    <w:jc w:val="center"/>
                    <w:rPr>
                      <w:b/>
                      <w:bCs/>
                      <w:sz w:val="21"/>
                      <w:szCs w:val="21"/>
                    </w:rPr>
                  </w:pPr>
                </w:p>
              </w:tc>
              <w:tc>
                <w:tcPr>
                  <w:tcW w:w="684" w:type="pct"/>
                  <w:vMerge w:val="continue"/>
                  <w:tcBorders>
                    <w:tl2br w:val="nil"/>
                    <w:tr2bl w:val="nil"/>
                  </w:tcBorders>
                  <w:shd w:val="clear" w:color="auto" w:fill="auto"/>
                  <w:vAlign w:val="center"/>
                </w:tcPr>
                <w:p>
                  <w:pPr>
                    <w:widowControl/>
                    <w:adjustRightInd w:val="0"/>
                    <w:snapToGrid w:val="0"/>
                    <w:jc w:val="center"/>
                    <w:rPr>
                      <w:b/>
                      <w:bCs/>
                      <w:sz w:val="21"/>
                      <w:szCs w:val="21"/>
                    </w:rPr>
                  </w:pPr>
                </w:p>
              </w:tc>
              <w:tc>
                <w:tcPr>
                  <w:tcW w:w="623" w:type="pct"/>
                  <w:vMerge w:val="continue"/>
                  <w:tcBorders>
                    <w:tl2br w:val="nil"/>
                    <w:tr2bl w:val="nil"/>
                  </w:tcBorders>
                  <w:shd w:val="clear" w:color="auto" w:fill="auto"/>
                  <w:vAlign w:val="center"/>
                </w:tcPr>
                <w:p>
                  <w:pPr>
                    <w:widowControl/>
                    <w:adjustRightInd w:val="0"/>
                    <w:snapToGrid w:val="0"/>
                    <w:jc w:val="center"/>
                    <w:rPr>
                      <w:b/>
                      <w:bCs/>
                      <w:sz w:val="21"/>
                      <w:szCs w:val="21"/>
                    </w:rPr>
                  </w:pPr>
                </w:p>
              </w:tc>
              <w:tc>
                <w:tcPr>
                  <w:tcW w:w="575" w:type="pc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数量</w:t>
                  </w:r>
                </w:p>
              </w:tc>
              <w:tc>
                <w:tcPr>
                  <w:tcW w:w="1446" w:type="pct"/>
                  <w:tcBorders>
                    <w:tl2br w:val="nil"/>
                    <w:tr2bl w:val="nil"/>
                  </w:tcBorders>
                  <w:shd w:val="clear" w:color="auto" w:fill="auto"/>
                  <w:vAlign w:val="center"/>
                </w:tcPr>
                <w:p>
                  <w:pPr>
                    <w:pStyle w:val="40"/>
                    <w:widowControl/>
                    <w:adjustRightInd w:val="0"/>
                    <w:snapToGrid w:val="0"/>
                    <w:rPr>
                      <w:b/>
                      <w:bCs/>
                      <w:sz w:val="21"/>
                      <w:szCs w:val="21"/>
                    </w:rPr>
                  </w:pPr>
                  <w:r>
                    <w:rPr>
                      <w:b/>
                      <w:bCs/>
                      <w:sz w:val="21"/>
                      <w:szCs w:val="21"/>
                    </w:rPr>
                    <w:t>去向</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1002" w:type="pct"/>
                  <w:tcBorders>
                    <w:tl2br w:val="nil"/>
                    <w:tr2bl w:val="nil"/>
                  </w:tcBorders>
                  <w:shd w:val="clear" w:color="auto" w:fill="auto"/>
                  <w:vAlign w:val="center"/>
                </w:tcPr>
                <w:p>
                  <w:pPr>
                    <w:pStyle w:val="40"/>
                    <w:widowControl/>
                    <w:adjustRightInd w:val="0"/>
                    <w:snapToGrid w:val="0"/>
                    <w:rPr>
                      <w:sz w:val="21"/>
                      <w:szCs w:val="21"/>
                    </w:rPr>
                  </w:pPr>
                  <w:r>
                    <w:rPr>
                      <w:sz w:val="21"/>
                      <w:szCs w:val="21"/>
                    </w:rPr>
                    <w:t>管线</w:t>
                  </w:r>
                </w:p>
              </w:tc>
              <w:tc>
                <w:tcPr>
                  <w:tcW w:w="667"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5111.07</w:t>
                  </w:r>
                </w:p>
              </w:tc>
              <w:tc>
                <w:tcPr>
                  <w:tcW w:w="684"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5111.07</w:t>
                  </w:r>
                </w:p>
              </w:tc>
              <w:tc>
                <w:tcPr>
                  <w:tcW w:w="623"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5111.07</w:t>
                  </w:r>
                  <w:r>
                    <w:rPr>
                      <w:sz w:val="21"/>
                      <w:szCs w:val="21"/>
                      <w:vertAlign w:val="superscript"/>
                    </w:rPr>
                    <w:t>注</w:t>
                  </w:r>
                </w:p>
              </w:tc>
              <w:tc>
                <w:tcPr>
                  <w:tcW w:w="575" w:type="pct"/>
                  <w:tcBorders>
                    <w:tl2br w:val="nil"/>
                    <w:tr2bl w:val="nil"/>
                  </w:tcBorders>
                  <w:shd w:val="clear" w:color="auto" w:fill="auto"/>
                  <w:vAlign w:val="center"/>
                </w:tcPr>
                <w:p>
                  <w:pPr>
                    <w:pStyle w:val="40"/>
                    <w:widowControl/>
                    <w:adjustRightInd w:val="0"/>
                    <w:snapToGrid w:val="0"/>
                    <w:rPr>
                      <w:sz w:val="21"/>
                      <w:szCs w:val="21"/>
                    </w:rPr>
                  </w:pPr>
                  <w:r>
                    <w:rPr>
                      <w:sz w:val="21"/>
                      <w:szCs w:val="21"/>
                    </w:rPr>
                    <w:t>0</w:t>
                  </w:r>
                </w:p>
              </w:tc>
              <w:tc>
                <w:tcPr>
                  <w:tcW w:w="1446" w:type="pct"/>
                  <w:tcBorders>
                    <w:tl2br w:val="nil"/>
                    <w:tr2bl w:val="nil"/>
                  </w:tcBorders>
                  <w:shd w:val="clear" w:color="auto" w:fill="auto"/>
                  <w:vAlign w:val="center"/>
                </w:tcPr>
                <w:p>
                  <w:pPr>
                    <w:pStyle w:val="40"/>
                    <w:widowControl/>
                    <w:adjustRightInd w:val="0"/>
                    <w:snapToGrid w:val="0"/>
                    <w:rPr>
                      <w:sz w:val="21"/>
                      <w:szCs w:val="21"/>
                    </w:rPr>
                  </w:pPr>
                  <w:r>
                    <w:rPr>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5" w:hRule="atLeast"/>
                <w:jc w:val="center"/>
              </w:trPr>
              <w:tc>
                <w:tcPr>
                  <w:tcW w:w="1002" w:type="pct"/>
                  <w:tcBorders>
                    <w:tl2br w:val="nil"/>
                    <w:tr2bl w:val="nil"/>
                  </w:tcBorders>
                  <w:shd w:val="clear" w:color="auto" w:fill="auto"/>
                  <w:vAlign w:val="center"/>
                </w:tcPr>
                <w:p>
                  <w:pPr>
                    <w:pStyle w:val="40"/>
                    <w:widowControl/>
                    <w:adjustRightInd w:val="0"/>
                    <w:snapToGrid w:val="0"/>
                    <w:rPr>
                      <w:sz w:val="21"/>
                      <w:szCs w:val="21"/>
                    </w:rPr>
                  </w:pPr>
                  <w:r>
                    <w:rPr>
                      <w:sz w:val="21"/>
                      <w:szCs w:val="21"/>
                    </w:rPr>
                    <w:t>阀井（2座）</w:t>
                  </w:r>
                </w:p>
              </w:tc>
              <w:tc>
                <w:tcPr>
                  <w:tcW w:w="667" w:type="pct"/>
                  <w:tcBorders>
                    <w:tl2br w:val="nil"/>
                    <w:tr2bl w:val="nil"/>
                  </w:tcBorders>
                  <w:shd w:val="clear" w:color="auto" w:fill="auto"/>
                  <w:vAlign w:val="center"/>
                </w:tcPr>
                <w:p>
                  <w:pPr>
                    <w:pStyle w:val="40"/>
                    <w:widowControl/>
                    <w:adjustRightInd w:val="0"/>
                    <w:snapToGrid w:val="0"/>
                    <w:rPr>
                      <w:sz w:val="21"/>
                      <w:szCs w:val="21"/>
                    </w:rPr>
                  </w:pPr>
                  <w:r>
                    <w:rPr>
                      <w:sz w:val="21"/>
                      <w:szCs w:val="21"/>
                    </w:rPr>
                    <w:t>31.45</w:t>
                  </w:r>
                </w:p>
              </w:tc>
              <w:tc>
                <w:tcPr>
                  <w:tcW w:w="684" w:type="pct"/>
                  <w:tcBorders>
                    <w:tl2br w:val="nil"/>
                    <w:tr2bl w:val="nil"/>
                  </w:tcBorders>
                  <w:shd w:val="clear" w:color="auto" w:fill="auto"/>
                  <w:vAlign w:val="center"/>
                </w:tcPr>
                <w:p>
                  <w:pPr>
                    <w:pStyle w:val="40"/>
                    <w:widowControl/>
                    <w:adjustRightInd w:val="0"/>
                    <w:snapToGrid w:val="0"/>
                    <w:rPr>
                      <w:sz w:val="21"/>
                      <w:szCs w:val="21"/>
                    </w:rPr>
                  </w:pPr>
                  <w:r>
                    <w:rPr>
                      <w:sz w:val="21"/>
                      <w:szCs w:val="21"/>
                    </w:rPr>
                    <w:t>0</w:t>
                  </w:r>
                </w:p>
              </w:tc>
              <w:tc>
                <w:tcPr>
                  <w:tcW w:w="623" w:type="pct"/>
                  <w:tcBorders>
                    <w:tl2br w:val="nil"/>
                    <w:tr2bl w:val="nil"/>
                  </w:tcBorders>
                  <w:shd w:val="clear" w:color="auto" w:fill="auto"/>
                  <w:vAlign w:val="center"/>
                </w:tcPr>
                <w:p>
                  <w:pPr>
                    <w:pStyle w:val="40"/>
                    <w:widowControl/>
                    <w:adjustRightInd w:val="0"/>
                    <w:snapToGrid w:val="0"/>
                    <w:rPr>
                      <w:sz w:val="21"/>
                      <w:szCs w:val="21"/>
                    </w:rPr>
                  </w:pPr>
                  <w:r>
                    <w:rPr>
                      <w:sz w:val="21"/>
                      <w:szCs w:val="21"/>
                    </w:rPr>
                    <w:t>0</w:t>
                  </w:r>
                </w:p>
              </w:tc>
              <w:tc>
                <w:tcPr>
                  <w:tcW w:w="575" w:type="pct"/>
                  <w:tcBorders>
                    <w:tl2br w:val="nil"/>
                    <w:tr2bl w:val="nil"/>
                  </w:tcBorders>
                  <w:shd w:val="clear" w:color="auto" w:fill="auto"/>
                  <w:vAlign w:val="center"/>
                </w:tcPr>
                <w:p>
                  <w:pPr>
                    <w:pStyle w:val="40"/>
                    <w:widowControl/>
                    <w:adjustRightInd w:val="0"/>
                    <w:snapToGrid w:val="0"/>
                    <w:rPr>
                      <w:sz w:val="21"/>
                      <w:szCs w:val="21"/>
                    </w:rPr>
                  </w:pPr>
                  <w:r>
                    <w:rPr>
                      <w:sz w:val="21"/>
                      <w:szCs w:val="21"/>
                    </w:rPr>
                    <w:t>31.45</w:t>
                  </w:r>
                </w:p>
              </w:tc>
              <w:tc>
                <w:tcPr>
                  <w:tcW w:w="1446" w:type="pct"/>
                  <w:tcBorders>
                    <w:tl2br w:val="nil"/>
                    <w:tr2bl w:val="nil"/>
                  </w:tcBorders>
                  <w:shd w:val="clear" w:color="auto" w:fill="auto"/>
                  <w:vAlign w:val="center"/>
                </w:tcPr>
                <w:p>
                  <w:pPr>
                    <w:pStyle w:val="40"/>
                    <w:widowControl/>
                    <w:adjustRightInd w:val="0"/>
                    <w:snapToGrid w:val="0"/>
                    <w:rPr>
                      <w:sz w:val="21"/>
                      <w:szCs w:val="21"/>
                    </w:rPr>
                  </w:pPr>
                  <w:r>
                    <w:rPr>
                      <w:kern w:val="2"/>
                      <w:sz w:val="21"/>
                      <w:szCs w:val="21"/>
                      <w:lang w:bidi="ar"/>
                    </w:rPr>
                    <w:t>沿线两侧或道路的绿化等生态恢复</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3" w:hRule="atLeast"/>
                <w:jc w:val="center"/>
              </w:trPr>
              <w:tc>
                <w:tcPr>
                  <w:tcW w:w="1002" w:type="pct"/>
                  <w:tcBorders>
                    <w:tl2br w:val="nil"/>
                    <w:tr2bl w:val="nil"/>
                  </w:tcBorders>
                  <w:shd w:val="clear" w:color="auto" w:fill="auto"/>
                  <w:vAlign w:val="center"/>
                </w:tcPr>
                <w:p>
                  <w:pPr>
                    <w:pStyle w:val="40"/>
                    <w:widowControl/>
                    <w:adjustRightInd w:val="0"/>
                    <w:snapToGrid w:val="0"/>
                    <w:rPr>
                      <w:sz w:val="21"/>
                      <w:szCs w:val="21"/>
                    </w:rPr>
                  </w:pPr>
                  <w:r>
                    <w:rPr>
                      <w:sz w:val="21"/>
                      <w:szCs w:val="21"/>
                    </w:rPr>
                    <w:t>合计</w:t>
                  </w:r>
                </w:p>
              </w:tc>
              <w:tc>
                <w:tcPr>
                  <w:tcW w:w="667"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5142.52</w:t>
                  </w:r>
                </w:p>
              </w:tc>
              <w:tc>
                <w:tcPr>
                  <w:tcW w:w="684"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5111.07</w:t>
                  </w:r>
                </w:p>
              </w:tc>
              <w:tc>
                <w:tcPr>
                  <w:tcW w:w="623" w:type="pct"/>
                  <w:tcBorders>
                    <w:tl2br w:val="nil"/>
                    <w:tr2bl w:val="nil"/>
                  </w:tcBorders>
                  <w:shd w:val="clear" w:color="auto" w:fill="auto"/>
                  <w:vAlign w:val="center"/>
                </w:tcPr>
                <w:p>
                  <w:pPr>
                    <w:pStyle w:val="40"/>
                    <w:widowControl/>
                    <w:adjustRightInd w:val="0"/>
                    <w:snapToGrid w:val="0"/>
                    <w:rPr>
                      <w:sz w:val="21"/>
                      <w:szCs w:val="21"/>
                    </w:rPr>
                  </w:pPr>
                  <w:r>
                    <w:rPr>
                      <w:sz w:val="21"/>
                      <w:szCs w:val="21"/>
                    </w:rPr>
                    <w:t>5111.07</w:t>
                  </w:r>
                </w:p>
              </w:tc>
              <w:tc>
                <w:tcPr>
                  <w:tcW w:w="575" w:type="pct"/>
                  <w:tcBorders>
                    <w:tl2br w:val="nil"/>
                    <w:tr2bl w:val="nil"/>
                  </w:tcBorders>
                  <w:shd w:val="clear" w:color="auto" w:fill="auto"/>
                  <w:vAlign w:val="center"/>
                </w:tcPr>
                <w:p>
                  <w:pPr>
                    <w:pStyle w:val="40"/>
                    <w:widowControl/>
                    <w:adjustRightInd w:val="0"/>
                    <w:snapToGrid w:val="0"/>
                    <w:rPr>
                      <w:sz w:val="21"/>
                      <w:szCs w:val="21"/>
                    </w:rPr>
                  </w:pPr>
                  <w:r>
                    <w:rPr>
                      <w:sz w:val="21"/>
                      <w:szCs w:val="21"/>
                    </w:rPr>
                    <w:t>31.45</w:t>
                  </w:r>
                </w:p>
              </w:tc>
              <w:tc>
                <w:tcPr>
                  <w:tcW w:w="1446" w:type="pct"/>
                  <w:tcBorders>
                    <w:tl2br w:val="nil"/>
                    <w:tr2bl w:val="nil"/>
                  </w:tcBorders>
                  <w:shd w:val="clear" w:color="auto" w:fill="auto"/>
                  <w:vAlign w:val="center"/>
                </w:tcPr>
                <w:p>
                  <w:pPr>
                    <w:pStyle w:val="40"/>
                    <w:widowControl/>
                    <w:adjustRightInd w:val="0"/>
                    <w:snapToGrid w:val="0"/>
                    <w:rPr>
                      <w:sz w:val="21"/>
                      <w:szCs w:val="21"/>
                    </w:rPr>
                  </w:pPr>
                  <w:r>
                    <w:rPr>
                      <w:sz w:val="21"/>
                      <w:szCs w:val="21"/>
                    </w:rPr>
                    <w:t>/</w:t>
                  </w:r>
                </w:p>
              </w:tc>
            </w:tr>
          </w:tbl>
          <w:p>
            <w:pPr>
              <w:widowControl/>
              <w:jc w:val="left"/>
              <w:rPr>
                <w:sz w:val="15"/>
                <w:szCs w:val="15"/>
                <w:lang w:bidi="ar"/>
              </w:rPr>
            </w:pPr>
            <w:r>
              <w:rPr>
                <w:sz w:val="15"/>
                <w:szCs w:val="15"/>
                <w:lang w:bidi="ar"/>
              </w:rPr>
              <w:t>注：按照管道设计要求，管沟回填时应高出地面</w:t>
            </w:r>
          </w:p>
          <w:p>
            <w:pPr>
              <w:pStyle w:val="19"/>
              <w:spacing w:before="120" w:beforeLines="50" w:beforeAutospacing="0" w:after="0" w:afterAutospacing="0" w:line="360" w:lineRule="auto"/>
              <w:ind w:firstLine="482" w:firstLineChars="200"/>
              <w:jc w:val="both"/>
              <w:rPr>
                <w:rFonts w:ascii="Times New Roman" w:hAnsi="Times New Roman"/>
                <w:b/>
                <w:szCs w:val="24"/>
              </w:rPr>
            </w:pPr>
            <w:r>
              <w:rPr>
                <w:rFonts w:ascii="Times New Roman" w:hAnsi="Times New Roman"/>
                <w:b/>
                <w:szCs w:val="24"/>
                <w:lang w:bidi="ar"/>
              </w:rPr>
              <w:t>（2）工程占地</w:t>
            </w:r>
          </w:p>
          <w:p>
            <w:pPr>
              <w:adjustRightInd w:val="0"/>
              <w:snapToGrid w:val="0"/>
              <w:spacing w:line="360" w:lineRule="auto"/>
              <w:ind w:firstLine="480" w:firstLineChars="200"/>
              <w:rPr>
                <w:lang w:bidi="ar"/>
              </w:rPr>
            </w:pPr>
            <w:r>
              <w:rPr>
                <w:lang w:bidi="ar"/>
              </w:rPr>
              <w:t>本工程总扰动面积2.3698hm</w:t>
            </w:r>
            <w:r>
              <w:rPr>
                <w:vertAlign w:val="superscript"/>
                <w:lang w:bidi="ar"/>
              </w:rPr>
              <w:t>2</w:t>
            </w:r>
            <w:r>
              <w:rPr>
                <w:lang w:bidi="ar"/>
              </w:rPr>
              <w:t>，本工程为天然气管道建设项目，属于地下工程；按照土地利用图，项目区土地类型为戈壁和平原旱地，详见图1；本项目在KA1+890拐点处（管线中段）设一处临时生产区，主要用于施工机械、施工材料堆放以及施工器械的停放，扰动面积为400m</w:t>
            </w:r>
            <w:r>
              <w:rPr>
                <w:vertAlign w:val="superscript"/>
                <w:lang w:bidi="ar"/>
              </w:rPr>
              <w:t>2</w:t>
            </w:r>
            <w:r>
              <w:rPr>
                <w:lang w:bidi="ar"/>
              </w:rPr>
              <w:t>，工程临时占地在工程竣工后及时推平恢复处理。同时进行生态恢复。</w:t>
            </w:r>
          </w:p>
          <w:p>
            <w:pPr>
              <w:adjustRightInd w:val="0"/>
              <w:snapToGrid w:val="0"/>
              <w:spacing w:line="360" w:lineRule="auto"/>
            </w:pPr>
            <w:r>
              <w:drawing>
                <wp:inline distT="0" distB="0" distL="114300" distR="114300">
                  <wp:extent cx="4984750" cy="3524250"/>
                  <wp:effectExtent l="0" t="0" r="0" b="0"/>
                  <wp:docPr id="53" name="图片 53" descr="445cae8579dcb917bc78021b917b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45cae8579dcb917bc78021b917b17a"/>
                          <pic:cNvPicPr>
                            <a:picLocks noChangeAspect="1"/>
                          </pic:cNvPicPr>
                        </pic:nvPicPr>
                        <pic:blipFill>
                          <a:blip r:embed="rId15"/>
                          <a:stretch>
                            <a:fillRect/>
                          </a:stretch>
                        </pic:blipFill>
                        <pic:spPr>
                          <a:xfrm>
                            <a:off x="0" y="0"/>
                            <a:ext cx="4984750" cy="3524250"/>
                          </a:xfrm>
                          <a:prstGeom prst="rect">
                            <a:avLst/>
                          </a:prstGeom>
                        </pic:spPr>
                      </pic:pic>
                    </a:graphicData>
                  </a:graphic>
                </wp:inline>
              </w:drawing>
            </w:r>
          </w:p>
          <w:p>
            <w:pPr>
              <w:adjustRightInd w:val="0"/>
              <w:snapToGrid w:val="0"/>
              <w:spacing w:line="360" w:lineRule="auto"/>
              <w:ind w:firstLine="482" w:firstLineChars="200"/>
              <w:jc w:val="center"/>
              <w:rPr>
                <w:b/>
                <w:bCs/>
              </w:rPr>
            </w:pPr>
            <w:r>
              <w:rPr>
                <w:b/>
                <w:bCs/>
              </w:rPr>
              <w:t>图1       项目土地利用图</w:t>
            </w:r>
          </w:p>
          <w:p>
            <w:pPr>
              <w:overflowPunct w:val="0"/>
              <w:spacing w:line="360" w:lineRule="auto"/>
              <w:rPr>
                <w:b/>
                <w:bCs/>
                <w:kern w:val="28"/>
              </w:rPr>
            </w:pPr>
            <w:r>
              <w:rPr>
                <w:b/>
                <w:bCs/>
                <w:kern w:val="28"/>
                <w:lang w:bidi="ar"/>
              </w:rPr>
              <w:t>2.1.9施工条件</w:t>
            </w:r>
          </w:p>
          <w:p>
            <w:pPr>
              <w:overflowPunct w:val="0"/>
              <w:spacing w:line="360" w:lineRule="auto"/>
              <w:ind w:firstLine="480" w:firstLineChars="200"/>
              <w:rPr>
                <w:kern w:val="28"/>
              </w:rPr>
            </w:pPr>
            <w:r>
              <w:rPr>
                <w:kern w:val="28"/>
                <w:lang w:bidi="ar"/>
              </w:rPr>
              <w:t>（1）交通条件</w:t>
            </w:r>
          </w:p>
          <w:p>
            <w:pPr>
              <w:overflowPunct w:val="0"/>
              <w:spacing w:line="360" w:lineRule="auto"/>
              <w:ind w:firstLine="480" w:firstLineChars="200"/>
              <w:rPr>
                <w:kern w:val="28"/>
              </w:rPr>
            </w:pPr>
            <w:r>
              <w:rPr>
                <w:kern w:val="28"/>
                <w:lang w:bidi="ar"/>
              </w:rPr>
              <w:t>项目区位于喀什市西北侧的喀什经济开发区航空港货运区北侧，管线的起点坐标：东经</w:t>
            </w:r>
            <w:r>
              <w:rPr>
                <w:lang w:bidi="ar"/>
              </w:rPr>
              <w:t>76°01′52.16″</w:t>
            </w:r>
            <w:r>
              <w:rPr>
                <w:kern w:val="28"/>
                <w:lang w:bidi="ar"/>
              </w:rPr>
              <w:t>，北纬</w:t>
            </w:r>
            <w:r>
              <w:rPr>
                <w:lang w:bidi="ar"/>
              </w:rPr>
              <w:t>39°33′26.36″，终点坐标：东经76°03′04.00″</w:t>
            </w:r>
            <w:r>
              <w:rPr>
                <w:kern w:val="28"/>
                <w:lang w:bidi="ar"/>
              </w:rPr>
              <w:t>，北纬</w:t>
            </w:r>
            <w:r>
              <w:rPr>
                <w:lang w:bidi="ar"/>
              </w:rPr>
              <w:t>，39°32′36.40″</w:t>
            </w:r>
            <w:r>
              <w:rPr>
                <w:kern w:val="28"/>
                <w:lang w:bidi="ar"/>
              </w:rPr>
              <w:t>。施工区有园区道路与之相连，工程区交通较为便利，</w:t>
            </w:r>
            <w:r>
              <w:t>可以满足项目建设施工要求。</w:t>
            </w:r>
          </w:p>
          <w:p>
            <w:pPr>
              <w:overflowPunct w:val="0"/>
              <w:spacing w:line="360" w:lineRule="auto"/>
              <w:ind w:firstLine="480" w:firstLineChars="200"/>
              <w:rPr>
                <w:kern w:val="28"/>
              </w:rPr>
            </w:pPr>
            <w:r>
              <w:rPr>
                <w:kern w:val="28"/>
                <w:lang w:bidi="ar"/>
              </w:rPr>
              <w:t>（2）主要建筑材料来源及水、电供应条件</w:t>
            </w:r>
          </w:p>
          <w:p>
            <w:pPr>
              <w:overflowPunct w:val="0"/>
              <w:spacing w:line="360" w:lineRule="auto"/>
              <w:ind w:firstLine="480" w:firstLineChars="200"/>
              <w:rPr>
                <w:kern w:val="28"/>
              </w:rPr>
            </w:pPr>
            <w:r>
              <w:rPr>
                <w:kern w:val="28"/>
                <w:lang w:bidi="ar"/>
              </w:rPr>
              <w:t>①用料</w:t>
            </w:r>
          </w:p>
          <w:p>
            <w:pPr>
              <w:overflowPunct w:val="0"/>
              <w:spacing w:line="360" w:lineRule="auto"/>
              <w:ind w:firstLine="480" w:firstLineChars="200"/>
              <w:rPr>
                <w:kern w:val="28"/>
                <w:lang w:bidi="ar"/>
              </w:rPr>
            </w:pPr>
            <w:r>
              <w:rPr>
                <w:kern w:val="28"/>
                <w:lang w:bidi="ar"/>
              </w:rPr>
              <w:t>油料：从喀什市购买，平均运距10km。</w:t>
            </w:r>
          </w:p>
          <w:p>
            <w:pPr>
              <w:overflowPunct w:val="0"/>
              <w:spacing w:line="360" w:lineRule="auto"/>
              <w:ind w:firstLine="480" w:firstLineChars="200"/>
              <w:rPr>
                <w:kern w:val="28"/>
              </w:rPr>
            </w:pPr>
            <w:r>
              <w:rPr>
                <w:kern w:val="28"/>
                <w:lang w:bidi="ar"/>
              </w:rPr>
              <w:t>水泥：水泥由喀什市购买，平均运距10km。</w:t>
            </w:r>
          </w:p>
          <w:p>
            <w:pPr>
              <w:overflowPunct w:val="0"/>
              <w:spacing w:line="360" w:lineRule="auto"/>
              <w:ind w:firstLine="480" w:firstLineChars="200"/>
              <w:rPr>
                <w:kern w:val="28"/>
              </w:rPr>
            </w:pPr>
            <w:r>
              <w:rPr>
                <w:kern w:val="28"/>
                <w:lang w:bidi="ar"/>
              </w:rPr>
              <w:t>混凝土、砖料：本工程混凝土、砖料全部外购。</w:t>
            </w:r>
          </w:p>
          <w:p>
            <w:pPr>
              <w:overflowPunct w:val="0"/>
              <w:spacing w:line="360" w:lineRule="auto"/>
              <w:ind w:firstLine="480" w:firstLineChars="200"/>
              <w:rPr>
                <w:kern w:val="28"/>
                <w:lang w:bidi="ar"/>
              </w:rPr>
            </w:pPr>
            <w:r>
              <w:rPr>
                <w:kern w:val="28"/>
                <w:lang w:bidi="ar"/>
              </w:rPr>
              <w:t>管材：从喀什市购买，平均运距10km。</w:t>
            </w:r>
          </w:p>
          <w:p>
            <w:pPr>
              <w:overflowPunct w:val="0"/>
              <w:spacing w:line="360" w:lineRule="auto"/>
              <w:ind w:firstLine="480" w:firstLineChars="200"/>
              <w:rPr>
                <w:kern w:val="28"/>
              </w:rPr>
            </w:pPr>
            <w:r>
              <w:rPr>
                <w:kern w:val="28"/>
                <w:lang w:bidi="ar"/>
              </w:rPr>
              <w:t>②施工水、电供应条件</w:t>
            </w:r>
          </w:p>
          <w:p>
            <w:pPr>
              <w:overflowPunct w:val="0"/>
              <w:spacing w:line="360" w:lineRule="auto"/>
              <w:ind w:firstLine="480" w:firstLineChars="200"/>
              <w:rPr>
                <w:kern w:val="28"/>
              </w:rPr>
            </w:pPr>
            <w:r>
              <w:rPr>
                <w:kern w:val="28"/>
                <w:lang w:bidi="ar"/>
              </w:rPr>
              <w:t>施工用水可直接从附近村庄拉运，平均运距500m。</w:t>
            </w:r>
          </w:p>
          <w:p>
            <w:pPr>
              <w:overflowPunct w:val="0"/>
              <w:spacing w:line="360" w:lineRule="auto"/>
              <w:ind w:firstLine="480" w:firstLineChars="200"/>
              <w:rPr>
                <w:kern w:val="28"/>
              </w:rPr>
            </w:pPr>
            <w:r>
              <w:rPr>
                <w:kern w:val="28"/>
                <w:lang w:bidi="ar"/>
              </w:rPr>
              <w:t>施工用电按自备60KW柴油发电机供电。</w:t>
            </w:r>
          </w:p>
          <w:p>
            <w:pPr>
              <w:overflowPunct w:val="0"/>
              <w:spacing w:line="360" w:lineRule="auto"/>
              <w:ind w:firstLine="480" w:firstLineChars="200"/>
              <w:rPr>
                <w:kern w:val="28"/>
              </w:rPr>
            </w:pPr>
            <w:r>
              <w:rPr>
                <w:kern w:val="28"/>
                <w:lang w:bidi="ar"/>
              </w:rPr>
              <w:t>③弃渣场地</w:t>
            </w:r>
          </w:p>
          <w:p>
            <w:pPr>
              <w:overflowPunct w:val="0"/>
              <w:spacing w:line="360" w:lineRule="auto"/>
              <w:ind w:firstLine="480" w:firstLineChars="200"/>
              <w:rPr>
                <w:kern w:val="28"/>
                <w:lang w:bidi="ar"/>
              </w:rPr>
            </w:pPr>
            <w:r>
              <w:rPr>
                <w:kern w:val="28"/>
                <w:lang w:bidi="ar"/>
              </w:rPr>
              <w:t>本项目在管道建设过程回填弃土</w:t>
            </w:r>
            <w:r>
              <w:t>用于管线及道路两侧洼地填充或周围绿化带建设</w:t>
            </w:r>
            <w:r>
              <w:rPr>
                <w:kern w:val="28"/>
                <w:lang w:bidi="ar"/>
              </w:rPr>
              <w:t>，同时进行整平，故不设置弃渣场。</w:t>
            </w:r>
          </w:p>
          <w:p>
            <w:pPr>
              <w:numPr>
                <w:ilvl w:val="0"/>
                <w:numId w:val="5"/>
              </w:numPr>
              <w:spacing w:line="360" w:lineRule="auto"/>
              <w:ind w:firstLine="480" w:firstLineChars="200"/>
              <w:rPr>
                <w:kern w:val="28"/>
                <w:lang w:bidi="ar"/>
              </w:rPr>
            </w:pPr>
            <w:r>
              <w:rPr>
                <w:kern w:val="28"/>
                <w:lang w:bidi="ar"/>
              </w:rPr>
              <w:t>其他条件</w:t>
            </w:r>
          </w:p>
          <w:p>
            <w:pPr>
              <w:spacing w:line="360" w:lineRule="auto"/>
              <w:ind w:firstLine="480" w:firstLineChars="200"/>
            </w:pPr>
            <w:r>
              <w:t>本工程位于喀什市经济开发区航空港货运区北侧，周围配套设施齐全，可满足施工人员食宿，项目区内不设生活营地，全部由施工单位自行解决。</w:t>
            </w:r>
          </w:p>
          <w:p>
            <w:pPr>
              <w:widowControl/>
              <w:spacing w:line="360" w:lineRule="auto"/>
              <w:jc w:val="left"/>
              <w:rPr>
                <w:b/>
                <w:bCs/>
                <w:kern w:val="0"/>
                <w:lang w:bidi="ar"/>
              </w:rPr>
            </w:pPr>
            <w:r>
              <w:rPr>
                <w:b/>
                <w:bCs/>
                <w:kern w:val="0"/>
                <w:lang w:bidi="ar"/>
              </w:rPr>
              <w:t>2.2航空货运区建设项目</w:t>
            </w:r>
          </w:p>
          <w:p>
            <w:pPr>
              <w:overflowPunct w:val="0"/>
              <w:spacing w:line="360" w:lineRule="auto"/>
              <w:rPr>
                <w:b/>
                <w:bCs/>
                <w:kern w:val="0"/>
                <w:lang w:bidi="ar"/>
              </w:rPr>
            </w:pPr>
            <w:r>
              <w:rPr>
                <w:b/>
                <w:bCs/>
                <w:kern w:val="0"/>
                <w:lang w:bidi="ar"/>
              </w:rPr>
              <w:t>2.2.1主要设备</w:t>
            </w:r>
          </w:p>
          <w:p>
            <w:pPr>
              <w:spacing w:line="360" w:lineRule="auto"/>
              <w:ind w:firstLine="480" w:firstLineChars="200"/>
            </w:pPr>
            <w:r>
              <w:t>项目主要设备一览表见表 2-6。</w:t>
            </w:r>
          </w:p>
          <w:p>
            <w:pPr>
              <w:topLinePunct/>
              <w:jc w:val="center"/>
              <w:rPr>
                <w:sz w:val="21"/>
                <w:szCs w:val="21"/>
              </w:rPr>
            </w:pPr>
            <w:r>
              <w:rPr>
                <w:b/>
                <w:bCs/>
                <w:sz w:val="21"/>
                <w:szCs w:val="21"/>
                <w:lang w:bidi="ar"/>
              </w:rPr>
              <w:t>表2-6     项目主要设备一览表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72"/>
              <w:gridCol w:w="3532"/>
              <w:gridCol w:w="1841"/>
              <w:gridCol w:w="859"/>
              <w:gridCol w:w="7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1" w:hRule="atLeast"/>
                <w:jc w:val="center"/>
              </w:trPr>
              <w:tc>
                <w:tcPr>
                  <w:tcW w:w="872"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6"/>
                      <w14:textOutline w14:w="3797" w14:cap="sq" w14:cmpd="sng" w14:algn="ctr">
                        <w14:solidFill>
                          <w14:srgbClr w14:val="000000"/>
                        </w14:solidFill>
                        <w14:prstDash w14:val="solid"/>
                        <w14:bevel/>
                      </w14:textOutline>
                    </w:rPr>
                    <w:t>序号</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7"/>
                      <w14:textOutline w14:w="3797" w14:cap="sq" w14:cmpd="sng" w14:algn="ctr">
                        <w14:solidFill>
                          <w14:srgbClr w14:val="000000"/>
                        </w14:solidFill>
                        <w14:prstDash w14:val="solid"/>
                        <w14:bevel/>
                      </w14:textOutline>
                    </w:rPr>
                    <w:t>设备名称</w:t>
                  </w:r>
                </w:p>
              </w:tc>
              <w:tc>
                <w:tcPr>
                  <w:tcW w:w="1841"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2"/>
                      <w14:textOutline w14:w="3797" w14:cap="sq" w14:cmpd="sng" w14:algn="ctr">
                        <w14:solidFill>
                          <w14:srgbClr w14:val="000000"/>
                        </w14:solidFill>
                        <w14:prstDash w14:val="solid"/>
                        <w14:bevel/>
                      </w14:textOutline>
                    </w:rPr>
                    <w:t>型号</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5"/>
                      <w14:textOutline w14:w="3797" w14:cap="sq" w14:cmpd="sng" w14:algn="ctr">
                        <w14:solidFill>
                          <w14:srgbClr w14:val="000000"/>
                        </w14:solidFill>
                        <w14:prstDash w14:val="solid"/>
                        <w14:bevel/>
                      </w14:textOutline>
                    </w:rPr>
                    <w:t>单位</w:t>
                  </w:r>
                </w:p>
              </w:tc>
              <w:tc>
                <w:tcPr>
                  <w:tcW w:w="749"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5"/>
                      <w14:textOutline w14:w="3797" w14:cap="sq" w14:cmpd="sng" w14:algn="ctr">
                        <w14:solidFill>
                          <w14:srgbClr w14:val="000000"/>
                        </w14:solidFill>
                        <w14:prstDash w14:val="solid"/>
                        <w14:bevel/>
                      </w14:textOutline>
                    </w:rPr>
                    <w:t>数量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72" w:type="dxa"/>
                  <w:tcBorders>
                    <w:tl2br w:val="nil"/>
                    <w:tr2bl w:val="nil"/>
                  </w:tcBorders>
                  <w:shd w:val="clear" w:color="auto" w:fill="auto"/>
                  <w:vAlign w:val="center"/>
                </w:tcPr>
                <w:p>
                  <w:pPr>
                    <w:jc w:val="center"/>
                    <w:rPr>
                      <w:sz w:val="21"/>
                      <w:szCs w:val="21"/>
                    </w:rPr>
                  </w:pPr>
                  <w:r>
                    <w:rPr>
                      <w:rFonts w:eastAsia="Times New Roman"/>
                      <w:sz w:val="20"/>
                      <w:szCs w:val="20"/>
                    </w:rPr>
                    <w:t>1</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rPr>
                  </w:pPr>
                  <w:r>
                    <w:rPr>
                      <w:rFonts w:ascii="Times New Roman" w:hAnsi="Times New Roman" w:cs="Times New Roman"/>
                      <w:spacing w:val="7"/>
                    </w:rPr>
                    <w:t>车辆消杀通道</w:t>
                  </w:r>
                </w:p>
              </w:tc>
              <w:tc>
                <w:tcPr>
                  <w:tcW w:w="1841" w:type="dxa"/>
                  <w:tcBorders>
                    <w:tl2br w:val="nil"/>
                    <w:tr2bl w:val="nil"/>
                  </w:tcBorders>
                  <w:shd w:val="clear" w:color="auto" w:fill="auto"/>
                  <w:vAlign w:val="center"/>
                </w:tcPr>
                <w:p>
                  <w:pPr>
                    <w:jc w:val="center"/>
                    <w:rPr>
                      <w:sz w:val="21"/>
                      <w:szCs w:val="21"/>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rPr>
                  </w:pPr>
                  <w:r>
                    <w:rPr>
                      <w:rFonts w:ascii="Times New Roman" w:hAnsi="Times New Roman" w:cs="Times New Roman"/>
                    </w:rPr>
                    <w:t>条</w:t>
                  </w:r>
                </w:p>
              </w:tc>
              <w:tc>
                <w:tcPr>
                  <w:tcW w:w="749" w:type="dxa"/>
                  <w:tcBorders>
                    <w:tl2br w:val="nil"/>
                    <w:tr2bl w:val="nil"/>
                  </w:tcBorders>
                  <w:shd w:val="clear" w:color="auto" w:fill="auto"/>
                  <w:vAlign w:val="center"/>
                </w:tcPr>
                <w:p>
                  <w:pPr>
                    <w:jc w:val="center"/>
                    <w:rPr>
                      <w:sz w:val="21"/>
                      <w:szCs w:val="21"/>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sz w:val="21"/>
                      <w:szCs w:val="21"/>
                      <w:lang w:bidi="ar"/>
                    </w:rPr>
                  </w:pPr>
                  <w:r>
                    <w:rPr>
                      <w:rFonts w:eastAsia="Times New Roman"/>
                      <w:sz w:val="20"/>
                      <w:szCs w:val="20"/>
                    </w:rPr>
                    <w:t>2</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8"/>
                    </w:rPr>
                    <w:t>智能行李快速消毒机</w:t>
                  </w:r>
                </w:p>
              </w:tc>
              <w:tc>
                <w:tcPr>
                  <w:tcW w:w="1841" w:type="dxa"/>
                  <w:tcBorders>
                    <w:tl2br w:val="nil"/>
                    <w:tr2bl w:val="nil"/>
                  </w:tcBorders>
                  <w:shd w:val="clear" w:color="auto" w:fill="auto"/>
                  <w:vAlign w:val="center"/>
                </w:tcPr>
                <w:p>
                  <w:pPr>
                    <w:jc w:val="center"/>
                    <w:rPr>
                      <w:sz w:val="21"/>
                      <w:szCs w:val="21"/>
                      <w:lang w:bidi="ar"/>
                    </w:rPr>
                  </w:pPr>
                  <w:r>
                    <w:rPr>
                      <w:rFonts w:eastAsia="Times New Roman"/>
                      <w:sz w:val="20"/>
                      <w:szCs w:val="20"/>
                    </w:rPr>
                    <w:t>DLW</w:t>
                  </w:r>
                  <w:r>
                    <w:rPr>
                      <w:rFonts w:eastAsia="Times New Roman"/>
                      <w:spacing w:val="3"/>
                      <w:sz w:val="20"/>
                      <w:szCs w:val="20"/>
                    </w:rPr>
                    <w:t>-</w:t>
                  </w:r>
                  <w:r>
                    <w:rPr>
                      <w:rFonts w:eastAsia="Times New Roman"/>
                      <w:spacing w:val="-28"/>
                      <w:sz w:val="20"/>
                      <w:szCs w:val="20"/>
                    </w:rPr>
                    <w:t xml:space="preserve"> </w:t>
                  </w:r>
                  <w:r>
                    <w:rPr>
                      <w:rFonts w:eastAsia="Times New Roman"/>
                      <w:spacing w:val="3"/>
                      <w:sz w:val="20"/>
                      <w:szCs w:val="20"/>
                    </w:rPr>
                    <w:t>1000</w:t>
                  </w:r>
                  <w:r>
                    <w:rPr>
                      <w:rFonts w:eastAsia="Times New Roman"/>
                      <w:sz w:val="20"/>
                      <w:szCs w:val="20"/>
                    </w:rPr>
                    <w:t>XLST</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rPr>
                    <w:t>台</w:t>
                  </w:r>
                </w:p>
              </w:tc>
              <w:tc>
                <w:tcPr>
                  <w:tcW w:w="749" w:type="dxa"/>
                  <w:tcBorders>
                    <w:tl2br w:val="nil"/>
                    <w:tr2bl w:val="nil"/>
                  </w:tcBorders>
                  <w:shd w:val="clear" w:color="auto" w:fill="auto"/>
                  <w:vAlign w:val="center"/>
                </w:tcPr>
                <w:p>
                  <w:pPr>
                    <w:jc w:val="center"/>
                    <w:rPr>
                      <w:sz w:val="21"/>
                      <w:szCs w:val="21"/>
                      <w:lang w:bidi="ar"/>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sz w:val="21"/>
                      <w:szCs w:val="21"/>
                      <w:lang w:bidi="ar"/>
                    </w:rPr>
                  </w:pPr>
                  <w:r>
                    <w:rPr>
                      <w:rFonts w:eastAsia="Times New Roman"/>
                      <w:sz w:val="20"/>
                      <w:szCs w:val="20"/>
                    </w:rPr>
                    <w:t>3</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8"/>
                      <w:lang w:eastAsia="zh-CN"/>
                    </w:rPr>
                    <w:t>大型通道式车辆放射性</w:t>
                  </w:r>
                  <w:r>
                    <w:rPr>
                      <w:rFonts w:ascii="Times New Roman" w:hAnsi="Times New Roman" w:cs="Times New Roman"/>
                      <w:spacing w:val="6"/>
                      <w:lang w:eastAsia="zh-CN"/>
                    </w:rPr>
                    <w:t xml:space="preserve"> </w:t>
                  </w:r>
                  <w:r>
                    <w:rPr>
                      <w:rFonts w:ascii="Times New Roman" w:hAnsi="Times New Roman" w:cs="Times New Roman"/>
                      <w:spacing w:val="7"/>
                      <w:lang w:eastAsia="zh-CN"/>
                    </w:rPr>
                    <w:t>探测系统</w:t>
                  </w:r>
                </w:p>
              </w:tc>
              <w:tc>
                <w:tcPr>
                  <w:tcW w:w="1841"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7"/>
                    </w:rPr>
                    <w:t>威视</w:t>
                  </w:r>
                  <w:r>
                    <w:rPr>
                      <w:rFonts w:ascii="Times New Roman" w:hAnsi="Times New Roman" w:cs="Times New Roman"/>
                      <w:spacing w:val="-41"/>
                    </w:rPr>
                    <w:t xml:space="preserve"> </w:t>
                  </w:r>
                  <w:r>
                    <w:rPr>
                      <w:rFonts w:ascii="Times New Roman" w:hAnsi="Times New Roman" w:eastAsia="Times New Roman" w:cs="Times New Roman"/>
                    </w:rPr>
                    <w:t>RM</w:t>
                  </w:r>
                  <w:r>
                    <w:rPr>
                      <w:rFonts w:ascii="Times New Roman" w:hAnsi="Times New Roman" w:eastAsia="Times New Roman" w:cs="Times New Roman"/>
                      <w:spacing w:val="7"/>
                    </w:rPr>
                    <w:t>2000-</w:t>
                  </w:r>
                  <w:r>
                    <w:rPr>
                      <w:rFonts w:ascii="Times New Roman" w:hAnsi="Times New Roman" w:eastAsia="Times New Roman" w:cs="Times New Roman"/>
                    </w:rPr>
                    <w:t>II</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rPr>
                    <w:t>套</w:t>
                  </w:r>
                </w:p>
              </w:tc>
              <w:tc>
                <w:tcPr>
                  <w:tcW w:w="749" w:type="dxa"/>
                  <w:tcBorders>
                    <w:tl2br w:val="nil"/>
                    <w:tr2bl w:val="nil"/>
                  </w:tcBorders>
                  <w:shd w:val="clear" w:color="auto" w:fill="auto"/>
                  <w:vAlign w:val="center"/>
                </w:tcPr>
                <w:p>
                  <w:pPr>
                    <w:jc w:val="center"/>
                    <w:rPr>
                      <w:sz w:val="21"/>
                      <w:szCs w:val="21"/>
                      <w:lang w:bidi="ar"/>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4</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3"/>
                      <w:lang w:eastAsia="zh-CN"/>
                    </w:rPr>
                    <w:t>货物安检机</w:t>
                  </w:r>
                  <w:r>
                    <w:rPr>
                      <w:rFonts w:ascii="Times New Roman" w:hAnsi="Times New Roman" w:cs="Times New Roman"/>
                      <w:spacing w:val="-15"/>
                      <w:lang w:eastAsia="zh-CN"/>
                    </w:rPr>
                    <w:t xml:space="preserve"> </w:t>
                  </w:r>
                  <w:r>
                    <w:rPr>
                      <w:rFonts w:ascii="Times New Roman" w:hAnsi="Times New Roman" w:eastAsia="Times New Roman" w:cs="Times New Roman"/>
                      <w:spacing w:val="3"/>
                      <w:lang w:eastAsia="zh-CN"/>
                    </w:rPr>
                    <w:t>150180</w:t>
                  </w:r>
                  <w:r>
                    <w:rPr>
                      <w:rFonts w:ascii="Times New Roman" w:hAnsi="Times New Roman" w:eastAsia="Times New Roman" w:cs="Times New Roman"/>
                      <w:spacing w:val="15"/>
                      <w:lang w:eastAsia="zh-CN"/>
                    </w:rPr>
                    <w:t xml:space="preserve"> </w:t>
                  </w:r>
                  <w:r>
                    <w:rPr>
                      <w:rFonts w:ascii="Times New Roman" w:hAnsi="Times New Roman" w:cs="Times New Roman"/>
                      <w:spacing w:val="3"/>
                      <w:lang w:eastAsia="zh-CN"/>
                    </w:rPr>
                    <w:t>大型</w:t>
                  </w:r>
                  <w:r>
                    <w:rPr>
                      <w:rFonts w:ascii="Times New Roman" w:hAnsi="Times New Roman" w:cs="Times New Roman"/>
                      <w:lang w:eastAsia="zh-CN"/>
                    </w:rPr>
                    <w:t xml:space="preserve"> </w:t>
                  </w:r>
                  <w:r>
                    <w:rPr>
                      <w:rFonts w:ascii="Times New Roman" w:hAnsi="Times New Roman" w:eastAsia="Times New Roman" w:cs="Times New Roman"/>
                      <w:spacing w:val="4"/>
                      <w:lang w:eastAsia="zh-CN"/>
                    </w:rPr>
                    <w:t>X</w:t>
                  </w:r>
                  <w:r>
                    <w:rPr>
                      <w:rFonts w:ascii="Times New Roman" w:hAnsi="Times New Roman" w:eastAsia="Times New Roman" w:cs="Times New Roman"/>
                      <w:spacing w:val="12"/>
                      <w:w w:val="101"/>
                      <w:lang w:eastAsia="zh-CN"/>
                    </w:rPr>
                    <w:t xml:space="preserve"> </w:t>
                  </w:r>
                  <w:r>
                    <w:rPr>
                      <w:rFonts w:ascii="Times New Roman" w:hAnsi="Times New Roman" w:cs="Times New Roman"/>
                      <w:spacing w:val="4"/>
                      <w:lang w:eastAsia="zh-CN"/>
                    </w:rPr>
                    <w:t>光机</w:t>
                  </w:r>
                </w:p>
              </w:tc>
              <w:tc>
                <w:tcPr>
                  <w:tcW w:w="1841" w:type="dxa"/>
                  <w:tcBorders>
                    <w:tl2br w:val="nil"/>
                    <w:tr2bl w:val="nil"/>
                  </w:tcBorders>
                  <w:shd w:val="clear" w:color="auto" w:fill="auto"/>
                  <w:vAlign w:val="center"/>
                </w:tcPr>
                <w:p>
                  <w:pPr>
                    <w:jc w:val="center"/>
                    <w:rPr>
                      <w:sz w:val="21"/>
                      <w:szCs w:val="21"/>
                      <w:lang w:bidi="ar"/>
                    </w:rPr>
                  </w:pPr>
                  <w:r>
                    <w:rPr>
                      <w:rFonts w:eastAsia="Times New Roman"/>
                      <w:sz w:val="20"/>
                      <w:szCs w:val="20"/>
                    </w:rPr>
                    <w:t>XIC</w:t>
                  </w:r>
                  <w:r>
                    <w:rPr>
                      <w:rFonts w:eastAsia="Times New Roman"/>
                      <w:spacing w:val="7"/>
                      <w:sz w:val="20"/>
                      <w:szCs w:val="20"/>
                    </w:rPr>
                    <w:t>150180B</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lang w:eastAsia="zh-CN"/>
                    </w:rPr>
                    <w:t>台</w:t>
                  </w:r>
                </w:p>
              </w:tc>
              <w:tc>
                <w:tcPr>
                  <w:tcW w:w="749" w:type="dxa"/>
                  <w:tcBorders>
                    <w:tl2br w:val="nil"/>
                    <w:tr2bl w:val="nil"/>
                  </w:tcBorders>
                  <w:shd w:val="clear" w:color="auto" w:fill="auto"/>
                  <w:vAlign w:val="center"/>
                </w:tcPr>
                <w:p>
                  <w:pPr>
                    <w:jc w:val="center"/>
                    <w:rPr>
                      <w:sz w:val="21"/>
                      <w:szCs w:val="21"/>
                      <w:lang w:bidi="ar"/>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sz w:val="21"/>
                      <w:szCs w:val="21"/>
                      <w:lang w:bidi="ar"/>
                    </w:rPr>
                  </w:pPr>
                  <w:r>
                    <w:rPr>
                      <w:rFonts w:eastAsia="Times New Roman"/>
                      <w:sz w:val="20"/>
                      <w:szCs w:val="20"/>
                    </w:rPr>
                    <w:t>5</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7"/>
                      <w:lang w:eastAsia="zh-CN"/>
                    </w:rPr>
                    <w:t>制冷设备</w:t>
                  </w:r>
                </w:p>
              </w:tc>
              <w:tc>
                <w:tcPr>
                  <w:tcW w:w="1841" w:type="dxa"/>
                  <w:tcBorders>
                    <w:tl2br w:val="nil"/>
                    <w:tr2bl w:val="nil"/>
                  </w:tcBorders>
                  <w:shd w:val="clear" w:color="auto" w:fill="auto"/>
                  <w:vAlign w:val="center"/>
                </w:tcPr>
                <w:p>
                  <w:pPr>
                    <w:jc w:val="center"/>
                    <w:rPr>
                      <w:sz w:val="21"/>
                      <w:szCs w:val="21"/>
                      <w:lang w:bidi="ar"/>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sz w:val="21"/>
                      <w:szCs w:val="21"/>
                      <w:lang w:bidi="ar"/>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sz w:val="21"/>
                      <w:szCs w:val="21"/>
                      <w:lang w:bidi="ar"/>
                    </w:rPr>
                  </w:pPr>
                  <w:r>
                    <w:rPr>
                      <w:rFonts w:eastAsia="Times New Roman"/>
                      <w:sz w:val="20"/>
                      <w:szCs w:val="20"/>
                    </w:rPr>
                    <w:t>6</w:t>
                  </w:r>
                </w:p>
              </w:tc>
              <w:tc>
                <w:tcPr>
                  <w:tcW w:w="3532"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8"/>
                      <w:lang w:eastAsia="zh-CN"/>
                    </w:rPr>
                    <w:t>检疫查验相关设备</w:t>
                  </w:r>
                </w:p>
              </w:tc>
              <w:tc>
                <w:tcPr>
                  <w:tcW w:w="1841" w:type="dxa"/>
                  <w:tcBorders>
                    <w:tl2br w:val="nil"/>
                    <w:tr2bl w:val="nil"/>
                  </w:tcBorders>
                  <w:shd w:val="clear" w:color="auto" w:fill="auto"/>
                  <w:vAlign w:val="center"/>
                </w:tcPr>
                <w:p>
                  <w:pPr>
                    <w:jc w:val="center"/>
                    <w:rPr>
                      <w:sz w:val="21"/>
                      <w:szCs w:val="21"/>
                      <w:lang w:bidi="ar"/>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sz w:val="21"/>
                      <w:szCs w:val="21"/>
                      <w:lang w:bidi="ar"/>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7</w:t>
                  </w:r>
                </w:p>
              </w:tc>
              <w:tc>
                <w:tcPr>
                  <w:tcW w:w="3532" w:type="dxa"/>
                  <w:tcBorders>
                    <w:tl2br w:val="nil"/>
                    <w:tr2bl w:val="nil"/>
                  </w:tcBorders>
                  <w:shd w:val="clear" w:color="auto" w:fill="auto"/>
                  <w:vAlign w:val="center"/>
                </w:tcPr>
                <w:p>
                  <w:pPr>
                    <w:pStyle w:val="46"/>
                    <w:jc w:val="center"/>
                    <w:rPr>
                      <w:rFonts w:ascii="Times New Roman" w:hAnsi="Times New Roman" w:cs="Times New Roman"/>
                      <w:spacing w:val="8"/>
                      <w:lang w:eastAsia="zh-CN"/>
                    </w:rPr>
                  </w:pPr>
                  <w:r>
                    <w:rPr>
                      <w:rFonts w:ascii="Times New Roman" w:hAnsi="Times New Roman" w:cs="Times New Roman"/>
                      <w:spacing w:val="4"/>
                      <w:lang w:eastAsia="zh-CN"/>
                    </w:rPr>
                    <w:t>熏蒸设备</w:t>
                  </w:r>
                </w:p>
              </w:tc>
              <w:tc>
                <w:tcPr>
                  <w:tcW w:w="1841" w:type="dxa"/>
                  <w:tcBorders>
                    <w:tl2br w:val="nil"/>
                    <w:tr2bl w:val="nil"/>
                  </w:tcBorders>
                  <w:shd w:val="clear" w:color="auto" w:fill="auto"/>
                  <w:vAlign w:val="center"/>
                </w:tcPr>
                <w:p>
                  <w:pPr>
                    <w:jc w:val="center"/>
                    <w:rPr>
                      <w:rFonts w:eastAsia="Times New Roman"/>
                      <w:spacing w:val="12"/>
                      <w:position w:val="-2"/>
                      <w:sz w:val="20"/>
                      <w:szCs w:val="20"/>
                    </w:rPr>
                  </w:pPr>
                </w:p>
              </w:tc>
              <w:tc>
                <w:tcPr>
                  <w:tcW w:w="859" w:type="dxa"/>
                  <w:tcBorders>
                    <w:tl2br w:val="nil"/>
                    <w:tr2bl w:val="nil"/>
                  </w:tcBorders>
                  <w:shd w:val="clear" w:color="auto" w:fill="auto"/>
                  <w:vAlign w:val="center"/>
                </w:tcPr>
                <w:p>
                  <w:pPr>
                    <w:pStyle w:val="46"/>
                    <w:jc w:val="center"/>
                    <w:rPr>
                      <w:rFonts w:ascii="Times New Roman" w:hAnsi="Times New Roman" w:cs="Times New Roman"/>
                      <w:lang w:eastAsia="zh-CN"/>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8</w:t>
                  </w:r>
                </w:p>
              </w:tc>
              <w:tc>
                <w:tcPr>
                  <w:tcW w:w="3532" w:type="dxa"/>
                  <w:tcBorders>
                    <w:tl2br w:val="nil"/>
                    <w:tr2bl w:val="nil"/>
                  </w:tcBorders>
                  <w:shd w:val="clear" w:color="auto" w:fill="auto"/>
                  <w:vAlign w:val="center"/>
                </w:tcPr>
                <w:p>
                  <w:pPr>
                    <w:pStyle w:val="46"/>
                    <w:jc w:val="center"/>
                    <w:rPr>
                      <w:rFonts w:ascii="Times New Roman" w:hAnsi="Times New Roman" w:cs="Times New Roman"/>
                      <w:spacing w:val="8"/>
                      <w:lang w:eastAsia="zh-CN"/>
                    </w:rPr>
                  </w:pPr>
                  <w:r>
                    <w:rPr>
                      <w:rFonts w:ascii="Times New Roman" w:hAnsi="Times New Roman" w:cs="Times New Roman"/>
                      <w:spacing w:val="8"/>
                      <w:lang w:eastAsia="zh-CN"/>
                    </w:rPr>
                    <w:t>无害化处理设备</w:t>
                  </w:r>
                </w:p>
              </w:tc>
              <w:tc>
                <w:tcPr>
                  <w:tcW w:w="1841" w:type="dxa"/>
                  <w:tcBorders>
                    <w:tl2br w:val="nil"/>
                    <w:tr2bl w:val="nil"/>
                  </w:tcBorders>
                  <w:shd w:val="clear" w:color="auto" w:fill="auto"/>
                  <w:vAlign w:val="center"/>
                </w:tcPr>
                <w:p>
                  <w:pPr>
                    <w:jc w:val="center"/>
                    <w:rPr>
                      <w:rFonts w:eastAsia="Times New Roman"/>
                      <w:spacing w:val="12"/>
                      <w:position w:val="-2"/>
                      <w:sz w:val="20"/>
                      <w:szCs w:val="20"/>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cs="Times New Roman"/>
                      <w:lang w:eastAsia="zh-CN"/>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9</w:t>
                  </w:r>
                </w:p>
              </w:tc>
              <w:tc>
                <w:tcPr>
                  <w:tcW w:w="3532" w:type="dxa"/>
                  <w:tcBorders>
                    <w:tl2br w:val="nil"/>
                    <w:tr2bl w:val="nil"/>
                  </w:tcBorders>
                  <w:shd w:val="clear" w:color="auto" w:fill="auto"/>
                  <w:vAlign w:val="center"/>
                </w:tcPr>
                <w:p>
                  <w:pPr>
                    <w:pStyle w:val="46"/>
                    <w:jc w:val="center"/>
                    <w:rPr>
                      <w:rFonts w:ascii="Times New Roman" w:hAnsi="Times New Roman" w:cs="Times New Roman"/>
                      <w:spacing w:val="8"/>
                      <w:lang w:eastAsia="zh-CN"/>
                    </w:rPr>
                  </w:pPr>
                  <w:r>
                    <w:rPr>
                      <w:rFonts w:ascii="Times New Roman" w:hAnsi="Times New Roman" w:cs="Times New Roman"/>
                      <w:spacing w:val="8"/>
                      <w:lang w:eastAsia="zh-CN"/>
                    </w:rPr>
                    <w:t>湿热处理设备</w:t>
                  </w:r>
                </w:p>
              </w:tc>
              <w:tc>
                <w:tcPr>
                  <w:tcW w:w="1841" w:type="dxa"/>
                  <w:tcBorders>
                    <w:tl2br w:val="nil"/>
                    <w:tr2bl w:val="nil"/>
                  </w:tcBorders>
                  <w:shd w:val="clear" w:color="auto" w:fill="auto"/>
                  <w:vAlign w:val="center"/>
                </w:tcPr>
                <w:p>
                  <w:pPr>
                    <w:jc w:val="center"/>
                    <w:rPr>
                      <w:rFonts w:eastAsia="Times New Roman"/>
                      <w:spacing w:val="12"/>
                      <w:position w:val="-2"/>
                      <w:sz w:val="20"/>
                      <w:szCs w:val="20"/>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cs="Times New Roman"/>
                      <w:lang w:eastAsia="zh-CN"/>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872" w:type="dxa"/>
                  <w:tcBorders>
                    <w:tl2br w:val="nil"/>
                    <w:tr2bl w:val="nil"/>
                  </w:tcBorders>
                  <w:shd w:val="clear" w:color="auto" w:fill="auto"/>
                  <w:vAlign w:val="center"/>
                </w:tcPr>
                <w:p>
                  <w:pPr>
                    <w:jc w:val="center"/>
                    <w:rPr>
                      <w:rFonts w:eastAsia="Times New Roman"/>
                      <w:sz w:val="20"/>
                      <w:szCs w:val="20"/>
                    </w:rPr>
                  </w:pPr>
                  <w:r>
                    <w:rPr>
                      <w:rFonts w:eastAsia="Times New Roman"/>
                      <w:spacing w:val="-8"/>
                      <w:sz w:val="20"/>
                      <w:szCs w:val="20"/>
                    </w:rPr>
                    <w:t>10</w:t>
                  </w:r>
                </w:p>
              </w:tc>
              <w:tc>
                <w:tcPr>
                  <w:tcW w:w="3532" w:type="dxa"/>
                  <w:tcBorders>
                    <w:tl2br w:val="nil"/>
                    <w:tr2bl w:val="nil"/>
                  </w:tcBorders>
                  <w:shd w:val="clear" w:color="auto" w:fill="auto"/>
                  <w:vAlign w:val="center"/>
                </w:tcPr>
                <w:p>
                  <w:pPr>
                    <w:pStyle w:val="46"/>
                    <w:jc w:val="center"/>
                    <w:rPr>
                      <w:rFonts w:ascii="Times New Roman" w:hAnsi="Times New Roman" w:cs="Times New Roman"/>
                      <w:spacing w:val="8"/>
                      <w:lang w:eastAsia="zh-CN"/>
                    </w:rPr>
                  </w:pPr>
                  <w:r>
                    <w:rPr>
                      <w:rFonts w:ascii="Times New Roman" w:hAnsi="Times New Roman" w:cs="Times New Roman"/>
                      <w:spacing w:val="7"/>
                      <w:lang w:eastAsia="zh-CN"/>
                    </w:rPr>
                    <w:t>冷处理设备</w:t>
                  </w:r>
                </w:p>
              </w:tc>
              <w:tc>
                <w:tcPr>
                  <w:tcW w:w="1841" w:type="dxa"/>
                  <w:tcBorders>
                    <w:tl2br w:val="nil"/>
                    <w:tr2bl w:val="nil"/>
                  </w:tcBorders>
                  <w:shd w:val="clear" w:color="auto" w:fill="auto"/>
                  <w:vAlign w:val="center"/>
                </w:tcPr>
                <w:p>
                  <w:pPr>
                    <w:jc w:val="center"/>
                    <w:rPr>
                      <w:rFonts w:eastAsia="Times New Roman"/>
                      <w:spacing w:val="12"/>
                      <w:position w:val="-2"/>
                      <w:sz w:val="20"/>
                      <w:szCs w:val="20"/>
                    </w:rPr>
                  </w:pPr>
                  <w:r>
                    <w:rPr>
                      <w:rFonts w:eastAsia="Times New Roman"/>
                      <w:spacing w:val="12"/>
                      <w:position w:val="-2"/>
                      <w:sz w:val="20"/>
                      <w:szCs w:val="20"/>
                    </w:rPr>
                    <w:t>—</w:t>
                  </w:r>
                </w:p>
              </w:tc>
              <w:tc>
                <w:tcPr>
                  <w:tcW w:w="859" w:type="dxa"/>
                  <w:tcBorders>
                    <w:tl2br w:val="nil"/>
                    <w:tr2bl w:val="nil"/>
                  </w:tcBorders>
                  <w:shd w:val="clear" w:color="auto" w:fill="auto"/>
                  <w:vAlign w:val="center"/>
                </w:tcPr>
                <w:p>
                  <w:pPr>
                    <w:pStyle w:val="46"/>
                    <w:jc w:val="center"/>
                    <w:rPr>
                      <w:rFonts w:ascii="Times New Roman" w:hAnsi="Times New Roman" w:cs="Times New Roman"/>
                      <w:lang w:eastAsia="zh-CN"/>
                    </w:rPr>
                  </w:pPr>
                  <w:r>
                    <w:rPr>
                      <w:rFonts w:ascii="Times New Roman" w:hAnsi="Times New Roman" w:cs="Times New Roman"/>
                      <w:lang w:eastAsia="zh-CN"/>
                    </w:rPr>
                    <w:t>套</w:t>
                  </w:r>
                </w:p>
              </w:tc>
              <w:tc>
                <w:tcPr>
                  <w:tcW w:w="749" w:type="dxa"/>
                  <w:tcBorders>
                    <w:tl2br w:val="nil"/>
                    <w:tr2bl w:val="nil"/>
                  </w:tcBorders>
                  <w:shd w:val="clear" w:color="auto" w:fill="auto"/>
                  <w:vAlign w:val="center"/>
                </w:tcPr>
                <w:p>
                  <w:pPr>
                    <w:jc w:val="center"/>
                    <w:rPr>
                      <w:rFonts w:eastAsia="Times New Roman"/>
                      <w:sz w:val="20"/>
                      <w:szCs w:val="20"/>
                    </w:rPr>
                  </w:pPr>
                  <w:r>
                    <w:rPr>
                      <w:rFonts w:eastAsia="Times New Roman"/>
                      <w:sz w:val="20"/>
                      <w:szCs w:val="20"/>
                    </w:rPr>
                    <w:t>1</w:t>
                  </w:r>
                </w:p>
              </w:tc>
            </w:tr>
          </w:tbl>
          <w:p>
            <w:pPr>
              <w:overflowPunct w:val="0"/>
              <w:spacing w:before="120" w:beforeLines="50" w:line="360" w:lineRule="auto"/>
              <w:rPr>
                <w:b/>
                <w:bCs/>
                <w:kern w:val="0"/>
                <w:lang w:bidi="ar"/>
              </w:rPr>
            </w:pPr>
            <w:r>
              <w:rPr>
                <w:b/>
                <w:bCs/>
                <w:kern w:val="0"/>
                <w:lang w:bidi="ar"/>
              </w:rPr>
              <w:t>2.2.2原辅材料</w:t>
            </w:r>
          </w:p>
          <w:p>
            <w:pPr>
              <w:spacing w:line="360" w:lineRule="auto"/>
              <w:ind w:firstLine="480" w:firstLineChars="200"/>
            </w:pPr>
            <w:r>
              <w:t>主要原辅材料消耗情况详见表 2-7。</w:t>
            </w:r>
          </w:p>
          <w:p>
            <w:pPr>
              <w:topLinePunct/>
              <w:jc w:val="center"/>
              <w:rPr>
                <w:sz w:val="21"/>
                <w:szCs w:val="21"/>
              </w:rPr>
            </w:pPr>
            <w:r>
              <w:rPr>
                <w:b/>
                <w:bCs/>
                <w:sz w:val="21"/>
                <w:szCs w:val="21"/>
                <w:lang w:bidi="ar"/>
              </w:rPr>
              <w:t>表2-7     主要原辅材料一览表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45"/>
              <w:gridCol w:w="2052"/>
              <w:gridCol w:w="1237"/>
              <w:gridCol w:w="1237"/>
              <w:gridCol w:w="208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cs="Times New Roman"/>
                      <w:spacing w:val="6"/>
                      <w:lang w:eastAsia="zh-CN"/>
                      <w14:textOutline w14:w="3797" w14:cap="sq" w14:cmpd="sng" w14:algn="ctr">
                        <w14:solidFill>
                          <w14:srgbClr w14:val="000000"/>
                        </w14:solidFill>
                        <w14:prstDash w14:val="solid"/>
                        <w14:bevel/>
                      </w14:textOutline>
                    </w:rPr>
                    <w:t>序号</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spacing w:val="5"/>
                      <w:lang w:eastAsia="zh-CN"/>
                      <w14:textOutline w14:w="3797" w14:cap="sq" w14:cmpd="sng" w14:algn="ctr">
                        <w14:solidFill>
                          <w14:srgbClr w14:val="000000"/>
                        </w14:solidFill>
                        <w14:prstDash w14:val="solid"/>
                        <w14:bevel/>
                      </w14:textOutline>
                    </w:rPr>
                    <w:t>单位</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spacing w:val="5"/>
                      <w:lang w:eastAsia="zh-CN"/>
                      <w14:textOutline w14:w="3797" w14:cap="sq" w14:cmpd="sng" w14:algn="ctr">
                        <w14:solidFill>
                          <w14:srgbClr w14:val="000000"/>
                        </w14:solidFill>
                        <w14:prstDash w14:val="solid"/>
                        <w14:bevel/>
                      </w14:textOutline>
                    </w:rPr>
                    <w:t>数量</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spacing w:val="5"/>
                      <w:lang w:eastAsia="zh-CN"/>
                      <w14:textOutline w14:w="3797" w14:cap="sq" w14:cmpd="sng" w14:algn="ctr">
                        <w14:solidFill>
                          <w14:srgbClr w14:val="000000"/>
                        </w14:solidFill>
                        <w14:prstDash w14:val="solid"/>
                        <w14:bevel/>
                      </w14:textOutline>
                    </w:rPr>
                    <w:t>单位</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spacing w:val="5"/>
                      <w:lang w:eastAsia="zh-CN"/>
                      <w14:textOutline w14:w="3797" w14:cap="sq" w14:cmpd="sng" w14:algn="ctr">
                        <w14:solidFill>
                          <w14:srgbClr w14:val="000000"/>
                        </w14:solidFill>
                        <w14:prstDash w14:val="solid"/>
                        <w14:bevel/>
                      </w14:textOutline>
                    </w:rPr>
                    <w:t>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vAlign w:val="center"/>
                </w:tcPr>
                <w:p>
                  <w:pPr>
                    <w:jc w:val="center"/>
                    <w:rPr>
                      <w:sz w:val="21"/>
                      <w:szCs w:val="21"/>
                    </w:rPr>
                  </w:pPr>
                  <w:r>
                    <w:rPr>
                      <w:rFonts w:eastAsia="Times New Roman"/>
                      <w:sz w:val="20"/>
                      <w:szCs w:val="20"/>
                    </w:rPr>
                    <w:t>1</w:t>
                  </w:r>
                </w:p>
              </w:tc>
              <w:tc>
                <w:tcPr>
                  <w:tcW w:w="0" w:type="auto"/>
                  <w:tcBorders>
                    <w:tl2br w:val="nil"/>
                    <w:tr2bl w:val="nil"/>
                  </w:tcBorders>
                  <w:shd w:val="clear" w:color="auto" w:fill="auto"/>
                  <w:vAlign w:val="center"/>
                </w:tcPr>
                <w:p>
                  <w:pPr>
                    <w:pStyle w:val="46"/>
                    <w:jc w:val="center"/>
                    <w:outlineLvl w:val="1"/>
                    <w:rPr>
                      <w:rFonts w:ascii="Times New Roman" w:hAnsi="Times New Roman" w:eastAsia="宋体" w:cs="Times New Roman"/>
                      <w:lang w:eastAsia="zh-CN"/>
                    </w:rPr>
                  </w:pPr>
                  <w:r>
                    <w:rPr>
                      <w:rFonts w:ascii="Times New Roman" w:hAnsi="Times New Roman" w:eastAsia="宋体" w:cs="Times New Roman"/>
                      <w:spacing w:val="5"/>
                      <w:lang w:eastAsia="zh-CN"/>
                    </w:rPr>
                    <w:t>溴甲烷</w:t>
                  </w:r>
                </w:p>
              </w:tc>
              <w:tc>
                <w:tcPr>
                  <w:tcW w:w="0" w:type="auto"/>
                  <w:tcBorders>
                    <w:tl2br w:val="nil"/>
                    <w:tr2bl w:val="nil"/>
                  </w:tcBorders>
                  <w:shd w:val="clear" w:color="auto" w:fill="auto"/>
                  <w:vAlign w:val="center"/>
                </w:tcPr>
                <w:p>
                  <w:pPr>
                    <w:jc w:val="center"/>
                    <w:rPr>
                      <w:sz w:val="21"/>
                      <w:szCs w:val="21"/>
                    </w:rPr>
                  </w:pPr>
                  <w:r>
                    <w:rPr>
                      <w:spacing w:val="1"/>
                      <w:sz w:val="21"/>
                      <w:szCs w:val="21"/>
                    </w:rPr>
                    <w:t>9.6</w:t>
                  </w:r>
                </w:p>
              </w:tc>
              <w:tc>
                <w:tcPr>
                  <w:tcW w:w="0" w:type="auto"/>
                  <w:tcBorders>
                    <w:tl2br w:val="nil"/>
                    <w:tr2bl w:val="nil"/>
                  </w:tcBorders>
                  <w:shd w:val="clear" w:color="auto" w:fill="auto"/>
                  <w:vAlign w:val="center"/>
                </w:tcPr>
                <w:p>
                  <w:pPr>
                    <w:jc w:val="center"/>
                    <w:rPr>
                      <w:sz w:val="21"/>
                      <w:szCs w:val="21"/>
                    </w:rPr>
                  </w:pPr>
                  <w:r>
                    <w:rPr>
                      <w:spacing w:val="3"/>
                      <w:sz w:val="21"/>
                      <w:szCs w:val="21"/>
                    </w:rPr>
                    <w:t>kg</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spacing w:val="2"/>
                      <w:lang w:eastAsia="zh-CN"/>
                    </w:rPr>
                    <w:t>外购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vAlign w:val="center"/>
                </w:tcPr>
                <w:p>
                  <w:pPr>
                    <w:jc w:val="center"/>
                    <w:rPr>
                      <w:sz w:val="21"/>
                      <w:szCs w:val="21"/>
                      <w:lang w:bidi="ar"/>
                    </w:rPr>
                  </w:pPr>
                  <w:r>
                    <w:rPr>
                      <w:rFonts w:eastAsia="Times New Roman"/>
                      <w:sz w:val="20"/>
                      <w:szCs w:val="20"/>
                    </w:rPr>
                    <w:t>2</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5"/>
                      <w:lang w:eastAsia="zh-CN"/>
                    </w:rPr>
                    <w:t>消毒液</w:t>
                  </w:r>
                </w:p>
              </w:tc>
              <w:tc>
                <w:tcPr>
                  <w:tcW w:w="0" w:type="auto"/>
                  <w:tcBorders>
                    <w:tl2br w:val="nil"/>
                    <w:tr2bl w:val="nil"/>
                  </w:tcBorders>
                  <w:shd w:val="clear" w:color="auto" w:fill="auto"/>
                  <w:vAlign w:val="center"/>
                </w:tcPr>
                <w:p>
                  <w:pPr>
                    <w:jc w:val="center"/>
                    <w:rPr>
                      <w:sz w:val="21"/>
                      <w:szCs w:val="21"/>
                      <w:lang w:bidi="ar"/>
                    </w:rPr>
                  </w:pPr>
                  <w:r>
                    <w:rPr>
                      <w:spacing w:val="-2"/>
                      <w:sz w:val="21"/>
                      <w:szCs w:val="21"/>
                    </w:rPr>
                    <w:t>0</w:t>
                  </w:r>
                  <w:r>
                    <w:rPr>
                      <w:spacing w:val="11"/>
                      <w:sz w:val="21"/>
                      <w:szCs w:val="21"/>
                    </w:rPr>
                    <w:t xml:space="preserve"> </w:t>
                  </w:r>
                  <w:r>
                    <w:rPr>
                      <w:spacing w:val="-2"/>
                      <w:sz w:val="21"/>
                      <w:szCs w:val="21"/>
                    </w:rPr>
                    <w:t>7</w:t>
                  </w:r>
                </w:p>
              </w:tc>
              <w:tc>
                <w:tcPr>
                  <w:tcW w:w="0" w:type="auto"/>
                  <w:tcBorders>
                    <w:tl2br w:val="nil"/>
                    <w:tr2bl w:val="nil"/>
                  </w:tcBorders>
                  <w:shd w:val="clear" w:color="auto" w:fill="auto"/>
                  <w:vAlign w:val="center"/>
                </w:tcPr>
                <w:p>
                  <w:pPr>
                    <w:jc w:val="center"/>
                    <w:rPr>
                      <w:sz w:val="21"/>
                      <w:szCs w:val="21"/>
                      <w:lang w:bidi="ar"/>
                    </w:rPr>
                  </w:pPr>
                  <w:r>
                    <w:rPr>
                      <w:sz w:val="21"/>
                      <w:szCs w:val="21"/>
                    </w:rPr>
                    <w:t>t</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2"/>
                      <w:lang w:eastAsia="zh-CN"/>
                    </w:rPr>
                    <w:t>外购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0" w:type="auto"/>
                  <w:tcBorders>
                    <w:tl2br w:val="nil"/>
                    <w:tr2bl w:val="nil"/>
                  </w:tcBorders>
                  <w:shd w:val="clear" w:color="auto" w:fill="auto"/>
                  <w:vAlign w:val="center"/>
                </w:tcPr>
                <w:p>
                  <w:pPr>
                    <w:jc w:val="center"/>
                    <w:rPr>
                      <w:sz w:val="21"/>
                      <w:szCs w:val="21"/>
                      <w:lang w:bidi="ar"/>
                    </w:rPr>
                  </w:pPr>
                  <w:r>
                    <w:rPr>
                      <w:rFonts w:eastAsia="Times New Roman"/>
                      <w:sz w:val="20"/>
                      <w:szCs w:val="20"/>
                    </w:rPr>
                    <w:t>3</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4"/>
                      <w:lang w:eastAsia="zh-CN"/>
                    </w:rPr>
                    <w:t>防疫物资</w:t>
                  </w:r>
                </w:p>
              </w:tc>
              <w:tc>
                <w:tcPr>
                  <w:tcW w:w="0" w:type="auto"/>
                  <w:tcBorders>
                    <w:tl2br w:val="nil"/>
                    <w:tr2bl w:val="nil"/>
                  </w:tcBorders>
                  <w:shd w:val="clear" w:color="auto" w:fill="auto"/>
                  <w:vAlign w:val="center"/>
                </w:tcPr>
                <w:p>
                  <w:pPr>
                    <w:jc w:val="center"/>
                    <w:rPr>
                      <w:sz w:val="21"/>
                      <w:szCs w:val="21"/>
                      <w:lang w:bidi="ar"/>
                    </w:rPr>
                  </w:pPr>
                  <w:r>
                    <w:rPr>
                      <w:spacing w:val="-4"/>
                      <w:sz w:val="21"/>
                      <w:szCs w:val="21"/>
                    </w:rPr>
                    <w:t>1.5</w:t>
                  </w:r>
                </w:p>
              </w:tc>
              <w:tc>
                <w:tcPr>
                  <w:tcW w:w="0" w:type="auto"/>
                  <w:tcBorders>
                    <w:tl2br w:val="nil"/>
                    <w:tr2bl w:val="nil"/>
                  </w:tcBorders>
                  <w:shd w:val="clear" w:color="auto" w:fill="auto"/>
                  <w:vAlign w:val="center"/>
                </w:tcPr>
                <w:p>
                  <w:pPr>
                    <w:jc w:val="center"/>
                    <w:rPr>
                      <w:sz w:val="21"/>
                      <w:szCs w:val="21"/>
                      <w:lang w:bidi="ar"/>
                    </w:rPr>
                  </w:pPr>
                  <w:r>
                    <w:rPr>
                      <w:sz w:val="21"/>
                      <w:szCs w:val="21"/>
                    </w:rPr>
                    <w:t>t</w:t>
                  </w:r>
                </w:p>
              </w:tc>
              <w:tc>
                <w:tcPr>
                  <w:tcW w:w="0" w:type="auto"/>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spacing w:val="6"/>
                      <w:lang w:eastAsia="zh-CN"/>
                    </w:rPr>
                    <w:t>统一发放</w:t>
                  </w:r>
                </w:p>
              </w:tc>
            </w:tr>
          </w:tbl>
          <w:p>
            <w:pPr>
              <w:widowControl/>
              <w:ind w:firstLine="480" w:firstLineChars="200"/>
              <w:jc w:val="left"/>
            </w:pPr>
            <w:r>
              <w:t>项目主要原辅材料理化性质分述如下。</w:t>
            </w:r>
          </w:p>
          <w:p>
            <w:pPr>
              <w:widowControl/>
              <w:spacing w:before="120" w:beforeLines="50" w:line="360" w:lineRule="auto"/>
              <w:ind w:firstLine="480" w:firstLineChars="200"/>
              <w:jc w:val="left"/>
            </w:pPr>
            <w:r>
              <w:t>溴甲烷：无色</w:t>
            </w:r>
            <w:r>
              <w:fldChar w:fldCharType="begin"/>
            </w:r>
            <w:r>
              <w:instrText xml:space="preserve"> HYPERLINK "https://baike.so.com/doc/5894600-6107487.html" </w:instrText>
            </w:r>
            <w:r>
              <w:fldChar w:fldCharType="separate"/>
            </w:r>
            <w:r>
              <w:t>气体</w:t>
            </w:r>
            <w:r>
              <w:fldChar w:fldCharType="end"/>
            </w:r>
            <w:r>
              <w:t>。通常无味；在高浓度时，有甜味。</w:t>
            </w:r>
            <w:r>
              <w:fldChar w:fldCharType="begin"/>
            </w:r>
            <w:r>
              <w:instrText xml:space="preserve"> HYPERLINK "https://baike.so.com/doc/6746773-6961319.html" </w:instrText>
            </w:r>
            <w:r>
              <w:fldChar w:fldCharType="separate"/>
            </w:r>
            <w:r>
              <w:t>分子式</w:t>
            </w:r>
            <w:r>
              <w:fldChar w:fldCharType="end"/>
            </w:r>
            <w:r>
              <w:t>CH</w:t>
            </w:r>
            <w:r>
              <w:rPr>
                <w:vertAlign w:val="subscript"/>
              </w:rPr>
              <w:t>3</w:t>
            </w:r>
            <w:r>
              <w:t>-Br。分子量94.95。</w:t>
            </w:r>
            <w:r>
              <w:fldChar w:fldCharType="begin"/>
            </w:r>
            <w:r>
              <w:instrText xml:space="preserve"> HYPERLINK "https://baike.so.com/doc/4210704-4411860.html" </w:instrText>
            </w:r>
            <w:r>
              <w:fldChar w:fldCharType="separate"/>
            </w:r>
            <w:r>
              <w:t>相对密度</w:t>
            </w:r>
            <w:r>
              <w:fldChar w:fldCharType="end"/>
            </w:r>
            <w:r>
              <w:t>1.730(0/4℃)。熔点-93.66℃。</w:t>
            </w:r>
            <w:r>
              <w:fldChar w:fldCharType="begin"/>
            </w:r>
            <w:r>
              <w:instrText xml:space="preserve"> HYPERLINK "https://baike.so.com/doc/5567907-5783065.html" </w:instrText>
            </w:r>
            <w:r>
              <w:fldChar w:fldCharType="separate"/>
            </w:r>
            <w:r>
              <w:t>沸点</w:t>
            </w:r>
            <w:r>
              <w:fldChar w:fldCharType="end"/>
            </w:r>
            <w:r>
              <w:t>3.6℃。</w:t>
            </w:r>
            <w:r>
              <w:fldChar w:fldCharType="begin"/>
            </w:r>
            <w:r>
              <w:instrText xml:space="preserve"> HYPERLINK "https://baike.so.com/doc/6152298-6365501.html" </w:instrText>
            </w:r>
            <w:r>
              <w:fldChar w:fldCharType="separate"/>
            </w:r>
            <w:r>
              <w:t>自燃点</w:t>
            </w:r>
            <w:r>
              <w:fldChar w:fldCharType="end"/>
            </w:r>
            <w:r>
              <w:t>537.22℃。</w:t>
            </w:r>
            <w:r>
              <w:fldChar w:fldCharType="begin"/>
            </w:r>
            <w:r>
              <w:instrText xml:space="preserve"> HYPERLINK "https://baike.so.com/doc/4210704-4411860.html" </w:instrText>
            </w:r>
            <w:r>
              <w:fldChar w:fldCharType="separate"/>
            </w:r>
            <w:r>
              <w:t>蒸气密度</w:t>
            </w:r>
            <w:r>
              <w:fldChar w:fldCharType="end"/>
            </w:r>
            <w:r>
              <w:t>3.27。</w:t>
            </w:r>
            <w:r>
              <w:fldChar w:fldCharType="begin"/>
            </w:r>
            <w:r>
              <w:instrText xml:space="preserve"> HYPERLINK "https://baike.so.com/doc/3779463-3970012.html" </w:instrText>
            </w:r>
            <w:r>
              <w:fldChar w:fldCharType="separate"/>
            </w:r>
            <w:r>
              <w:t>蒸气压</w:t>
            </w:r>
            <w:r>
              <w:fldChar w:fldCharType="end"/>
            </w:r>
            <w:r>
              <w:t>243.18kPa(1824mmHg 25℃)。</w:t>
            </w:r>
            <w:r>
              <w:fldChar w:fldCharType="begin"/>
            </w:r>
            <w:r>
              <w:instrText xml:space="preserve"> HYPERLINK "https://baike.so.com/doc/6002371-6215348.html" </w:instrText>
            </w:r>
            <w:r>
              <w:fldChar w:fldCharType="separate"/>
            </w:r>
            <w:r>
              <w:t>蒸气</w:t>
            </w:r>
            <w:r>
              <w:fldChar w:fldCharType="end"/>
            </w:r>
            <w:r>
              <w:t>与空气混合物爆炸限13.5~14.5%。微溶于水</w:t>
            </w:r>
            <w:r>
              <w:rPr>
                <w:rFonts w:hint="eastAsia"/>
                <w:lang w:eastAsia="zh-CN"/>
              </w:rPr>
              <w:t>；</w:t>
            </w:r>
            <w:r>
              <w:t>易溶于</w:t>
            </w:r>
            <w:r>
              <w:fldChar w:fldCharType="begin"/>
            </w:r>
            <w:r>
              <w:instrText xml:space="preserve"> HYPERLINK "https://baike.so.com/doc/3036121-3200992.html" </w:instrText>
            </w:r>
            <w:r>
              <w:fldChar w:fldCharType="separate"/>
            </w:r>
            <w:r>
              <w:t>乙醇</w:t>
            </w:r>
            <w:r>
              <w:fldChar w:fldCharType="end"/>
            </w:r>
            <w:r>
              <w:t>、</w:t>
            </w:r>
            <w:r>
              <w:fldChar w:fldCharType="begin"/>
            </w:r>
            <w:r>
              <w:instrText xml:space="preserve"> HYPERLINK "https://baike.so.com/doc/1872265-1980372.html" </w:instrText>
            </w:r>
            <w:r>
              <w:fldChar w:fldCharType="separate"/>
            </w:r>
            <w:r>
              <w:t>乙醚</w:t>
            </w:r>
            <w:r>
              <w:fldChar w:fldCharType="end"/>
            </w:r>
            <w:r>
              <w:t>、氯仿、苯、</w:t>
            </w:r>
            <w:r>
              <w:fldChar w:fldCharType="begin"/>
            </w:r>
            <w:r>
              <w:instrText xml:space="preserve"> HYPERLINK "https://baike.so.com/doc/131852-139263.html" </w:instrText>
            </w:r>
            <w:r>
              <w:fldChar w:fldCharType="separate"/>
            </w:r>
            <w:r>
              <w:t>四氯化碳</w:t>
            </w:r>
            <w:r>
              <w:fldChar w:fldCharType="end"/>
            </w:r>
            <w:r>
              <w:t>、二硫化碳。腐蚀铝、镁和它们的合金。在氧气中易燃；在大气 中遇高热、明火才燃。在大气压下，与空气混合形成</w:t>
            </w:r>
            <w:r>
              <w:fldChar w:fldCharType="begin"/>
            </w:r>
            <w:r>
              <w:instrText xml:space="preserve"> HYPERLINK "https://baike.so.com/doc/5706238-5918957.html" </w:instrText>
            </w:r>
            <w:r>
              <w:fldChar w:fldCharType="separate"/>
            </w:r>
            <w:r>
              <w:t>爆炸性混合物</w:t>
            </w:r>
            <w:r>
              <w:fldChar w:fldCharType="end"/>
            </w:r>
            <w:r>
              <w:t>范围较窄，在高压下范围较宽。加热分解，生成</w:t>
            </w:r>
            <w:r>
              <w:fldChar w:fldCharType="begin"/>
            </w:r>
            <w:r>
              <w:instrText xml:space="preserve"> HYPERLINK "https://baike.so.com/doc/1049635-1110224.html" </w:instrText>
            </w:r>
            <w:r>
              <w:fldChar w:fldCharType="separate"/>
            </w:r>
            <w:r>
              <w:t>溴化物</w:t>
            </w:r>
            <w:r>
              <w:fldChar w:fldCharType="end"/>
            </w:r>
            <w:r>
              <w:t>。</w:t>
            </w:r>
          </w:p>
          <w:p>
            <w:pPr>
              <w:overflowPunct w:val="0"/>
              <w:spacing w:before="120" w:beforeLines="50" w:line="360" w:lineRule="auto"/>
              <w:rPr>
                <w:b/>
                <w:bCs/>
                <w:kern w:val="0"/>
                <w:lang w:bidi="ar"/>
              </w:rPr>
            </w:pPr>
            <w:r>
              <w:rPr>
                <w:b/>
                <w:bCs/>
                <w:kern w:val="0"/>
                <w:lang w:bidi="ar"/>
              </w:rPr>
              <w:t>2.2.3</w:t>
            </w:r>
            <w:r>
              <w:rPr>
                <w:spacing w:val="7"/>
                <w14:textOutline w14:w="3797" w14:cap="sq" w14:cmpd="sng" w14:algn="ctr">
                  <w14:solidFill>
                    <w14:srgbClr w14:val="000000"/>
                  </w14:solidFill>
                  <w14:prstDash w14:val="solid"/>
                  <w14:bevel/>
                </w14:textOutline>
              </w:rPr>
              <w:t>公用工程</w:t>
            </w:r>
          </w:p>
          <w:p>
            <w:pPr>
              <w:pStyle w:val="46"/>
              <w:spacing w:line="360" w:lineRule="auto"/>
              <w:ind w:firstLine="500" w:firstLineChars="200"/>
              <w:rPr>
                <w:rFonts w:ascii="Times New Roman" w:hAnsi="Times New Roman" w:cs="Times New Roman"/>
                <w:sz w:val="24"/>
                <w:szCs w:val="24"/>
                <w:lang w:eastAsia="zh-CN"/>
              </w:rPr>
            </w:pPr>
            <w:r>
              <w:rPr>
                <w:rFonts w:ascii="Times New Roman" w:hAnsi="Times New Roman" w:cs="Times New Roman"/>
                <w:spacing w:val="5"/>
                <w:sz w:val="24"/>
                <w:szCs w:val="24"/>
                <w:lang w:eastAsia="zh-CN"/>
              </w:rPr>
              <w:t>（</w:t>
            </w:r>
            <w:r>
              <w:rPr>
                <w:rFonts w:ascii="Times New Roman" w:hAnsi="Times New Roman" w:eastAsia="Times New Roman" w:cs="Times New Roman"/>
                <w:spacing w:val="5"/>
                <w:sz w:val="24"/>
                <w:szCs w:val="24"/>
                <w:lang w:eastAsia="zh-CN"/>
              </w:rPr>
              <w:t>1</w:t>
            </w:r>
            <w:r>
              <w:rPr>
                <w:rFonts w:ascii="Times New Roman" w:hAnsi="Times New Roman" w:cs="Times New Roman"/>
                <w:spacing w:val="5"/>
                <w:sz w:val="24"/>
                <w:szCs w:val="24"/>
                <w:lang w:eastAsia="zh-CN"/>
              </w:rPr>
              <w:t>）供电</w:t>
            </w:r>
          </w:p>
          <w:p>
            <w:pPr>
              <w:pStyle w:val="46"/>
              <w:spacing w:line="360" w:lineRule="auto"/>
              <w:ind w:firstLine="516" w:firstLineChars="200"/>
              <w:rPr>
                <w:rFonts w:ascii="Times New Roman" w:hAnsi="Times New Roman" w:cs="Times New Roman"/>
                <w:sz w:val="24"/>
                <w:szCs w:val="24"/>
                <w:lang w:eastAsia="zh-CN"/>
              </w:rPr>
            </w:pPr>
            <w:r>
              <w:rPr>
                <w:rFonts w:ascii="Times New Roman" w:hAnsi="Times New Roman" w:cs="Times New Roman"/>
                <w:spacing w:val="9"/>
                <w:position w:val="15"/>
                <w:sz w:val="24"/>
                <w:szCs w:val="24"/>
                <w:lang w:eastAsia="zh-CN"/>
              </w:rPr>
              <w:t>本项目用电由当地供电网接入，可满足项目用电需求。</w:t>
            </w:r>
          </w:p>
          <w:p>
            <w:pPr>
              <w:pStyle w:val="46"/>
              <w:spacing w:line="360" w:lineRule="auto"/>
              <w:ind w:firstLine="500" w:firstLineChars="200"/>
              <w:rPr>
                <w:rFonts w:ascii="Times New Roman" w:hAnsi="Times New Roman" w:cs="Times New Roman"/>
                <w:sz w:val="24"/>
                <w:szCs w:val="24"/>
                <w:lang w:eastAsia="zh-CN"/>
              </w:rPr>
            </w:pPr>
            <w:r>
              <w:rPr>
                <w:rFonts w:ascii="Times New Roman" w:hAnsi="Times New Roman" w:cs="Times New Roman"/>
                <w:spacing w:val="5"/>
                <w:sz w:val="24"/>
                <w:szCs w:val="24"/>
                <w:lang w:eastAsia="zh-CN"/>
              </w:rPr>
              <w:t>（</w:t>
            </w:r>
            <w:r>
              <w:rPr>
                <w:rFonts w:ascii="Times New Roman" w:hAnsi="Times New Roman" w:eastAsia="Times New Roman" w:cs="Times New Roman"/>
                <w:spacing w:val="5"/>
                <w:sz w:val="24"/>
                <w:szCs w:val="24"/>
                <w:lang w:eastAsia="zh-CN"/>
              </w:rPr>
              <w:t>2</w:t>
            </w:r>
            <w:r>
              <w:rPr>
                <w:rFonts w:ascii="Times New Roman" w:hAnsi="Times New Roman" w:cs="Times New Roman"/>
                <w:spacing w:val="5"/>
                <w:sz w:val="24"/>
                <w:szCs w:val="24"/>
                <w:lang w:eastAsia="zh-CN"/>
              </w:rPr>
              <w:t>）供水</w:t>
            </w:r>
          </w:p>
          <w:p>
            <w:pPr>
              <w:pStyle w:val="46"/>
              <w:spacing w:line="360" w:lineRule="auto"/>
              <w:ind w:firstLine="516" w:firstLineChars="200"/>
              <w:rPr>
                <w:rFonts w:ascii="Times New Roman" w:hAnsi="Times New Roman" w:cs="Times New Roman"/>
                <w:sz w:val="24"/>
                <w:szCs w:val="24"/>
                <w:lang w:eastAsia="zh-CN"/>
              </w:rPr>
            </w:pPr>
            <w:r>
              <w:rPr>
                <w:rFonts w:ascii="Times New Roman" w:hAnsi="Times New Roman" w:cs="Times New Roman"/>
                <w:spacing w:val="9"/>
                <w:position w:val="15"/>
                <w:sz w:val="24"/>
                <w:szCs w:val="24"/>
                <w:lang w:eastAsia="zh-CN"/>
              </w:rPr>
              <w:t>本项目用水由市政管网供给，可满足本项目的需要。</w:t>
            </w:r>
          </w:p>
          <w:p>
            <w:pPr>
              <w:pStyle w:val="46"/>
              <w:spacing w:line="360" w:lineRule="auto"/>
              <w:ind w:firstLine="516" w:firstLineChars="200"/>
              <w:rPr>
                <w:rFonts w:ascii="Times New Roman" w:hAnsi="Times New Roman" w:cs="Times New Roman"/>
                <w:sz w:val="24"/>
                <w:szCs w:val="24"/>
                <w:lang w:eastAsia="zh-CN"/>
              </w:rPr>
            </w:pPr>
            <w:r>
              <w:rPr>
                <w:rFonts w:ascii="Times New Roman" w:hAnsi="Times New Roman" w:cs="Times New Roman"/>
                <w:spacing w:val="9"/>
                <w:sz w:val="24"/>
                <w:szCs w:val="24"/>
                <w:lang w:eastAsia="zh-CN"/>
              </w:rPr>
              <w:t>本项目主要为生活用水、生产用水及绿化用</w:t>
            </w:r>
            <w:r>
              <w:rPr>
                <w:rFonts w:ascii="Times New Roman" w:hAnsi="Times New Roman" w:cs="Times New Roman"/>
                <w:spacing w:val="8"/>
                <w:sz w:val="24"/>
                <w:szCs w:val="24"/>
                <w:lang w:eastAsia="zh-CN"/>
              </w:rPr>
              <w:t>水。</w:t>
            </w:r>
          </w:p>
          <w:p>
            <w:pPr>
              <w:pStyle w:val="46"/>
              <w:spacing w:line="360" w:lineRule="auto"/>
              <w:ind w:firstLine="528" w:firstLineChars="200"/>
              <w:rPr>
                <w:rFonts w:ascii="Times New Roman" w:hAnsi="Times New Roman" w:cs="Times New Roman"/>
                <w:sz w:val="24"/>
                <w:szCs w:val="24"/>
                <w:lang w:eastAsia="zh-CN"/>
              </w:rPr>
            </w:pPr>
            <w:r>
              <w:rPr>
                <w:rFonts w:ascii="Times New Roman" w:hAnsi="Times New Roman" w:cs="Times New Roman"/>
                <w:spacing w:val="12"/>
                <w:sz w:val="24"/>
                <w:szCs w:val="24"/>
                <w:lang w:eastAsia="zh-CN"/>
              </w:rPr>
              <w:t>①</w:t>
            </w:r>
            <w:r>
              <w:rPr>
                <w:rFonts w:ascii="Times New Roman" w:hAnsi="Times New Roman" w:eastAsia="宋体" w:cs="Times New Roman"/>
                <w:spacing w:val="12"/>
                <w:sz w:val="24"/>
                <w:szCs w:val="24"/>
                <w:lang w:eastAsia="zh-CN"/>
              </w:rPr>
              <w:t xml:space="preserve"> </w:t>
            </w:r>
            <w:r>
              <w:rPr>
                <w:rFonts w:ascii="Times New Roman" w:hAnsi="Times New Roman" w:cs="Times New Roman"/>
                <w:spacing w:val="12"/>
                <w:sz w:val="24"/>
                <w:szCs w:val="24"/>
                <w:lang w:eastAsia="zh-CN"/>
              </w:rPr>
              <w:t>生活用水量：本项目劳动定员</w:t>
            </w:r>
            <w:r>
              <w:rPr>
                <w:rFonts w:ascii="Times New Roman" w:hAnsi="Times New Roman" w:eastAsia="Times New Roman" w:cs="Times New Roman"/>
                <w:spacing w:val="12"/>
                <w:sz w:val="24"/>
                <w:szCs w:val="24"/>
                <w:lang w:eastAsia="zh-CN"/>
              </w:rPr>
              <w:t>20</w:t>
            </w:r>
            <w:r>
              <w:rPr>
                <w:rFonts w:ascii="Times New Roman" w:hAnsi="Times New Roman" w:cs="Times New Roman"/>
                <w:spacing w:val="12"/>
                <w:sz w:val="24"/>
                <w:szCs w:val="24"/>
                <w:lang w:eastAsia="zh-CN"/>
              </w:rPr>
              <w:t>人，均不在项目区</w:t>
            </w:r>
            <w:r>
              <w:rPr>
                <w:rFonts w:ascii="Times New Roman" w:hAnsi="Times New Roman" w:cs="Times New Roman"/>
                <w:spacing w:val="11"/>
                <w:sz w:val="24"/>
                <w:szCs w:val="24"/>
                <w:lang w:eastAsia="zh-CN"/>
              </w:rPr>
              <w:t>食宿。根据《建筑给水排水设计规</w:t>
            </w:r>
            <w:r>
              <w:rPr>
                <w:rFonts w:ascii="Times New Roman" w:hAnsi="Times New Roman" w:cs="Times New Roman"/>
                <w:sz w:val="24"/>
                <w:szCs w:val="24"/>
                <w:lang w:eastAsia="zh-CN"/>
              </w:rPr>
              <w:t xml:space="preserve"> </w:t>
            </w:r>
            <w:r>
              <w:rPr>
                <w:rFonts w:ascii="Times New Roman" w:hAnsi="Times New Roman" w:cs="Times New Roman"/>
                <w:spacing w:val="8"/>
                <w:sz w:val="24"/>
                <w:szCs w:val="24"/>
                <w:lang w:eastAsia="zh-CN"/>
              </w:rPr>
              <w:t>范》（</w:t>
            </w:r>
            <w:r>
              <w:rPr>
                <w:rFonts w:ascii="Times New Roman" w:hAnsi="Times New Roman" w:eastAsia="Times New Roman" w:cs="Times New Roman"/>
                <w:sz w:val="24"/>
                <w:szCs w:val="24"/>
                <w:lang w:eastAsia="zh-CN"/>
              </w:rPr>
              <w:t>GB</w:t>
            </w:r>
            <w:r>
              <w:rPr>
                <w:rFonts w:ascii="Times New Roman" w:hAnsi="Times New Roman" w:eastAsia="Times New Roman" w:cs="Times New Roman"/>
                <w:spacing w:val="8"/>
                <w:sz w:val="24"/>
                <w:szCs w:val="24"/>
                <w:lang w:eastAsia="zh-CN"/>
              </w:rPr>
              <w:t>50015-2009</w:t>
            </w:r>
            <w:r>
              <w:rPr>
                <w:rFonts w:ascii="Times New Roman" w:hAnsi="Times New Roman" w:cs="Times New Roman"/>
                <w:spacing w:val="8"/>
                <w:sz w:val="24"/>
                <w:szCs w:val="24"/>
                <w:lang w:eastAsia="zh-CN"/>
              </w:rPr>
              <w:t>）及《新疆维吾尔自治区生活用水定额》（</w:t>
            </w:r>
            <w:r>
              <w:rPr>
                <w:rFonts w:ascii="Times New Roman" w:hAnsi="Times New Roman" w:eastAsia="Times New Roman" w:cs="Times New Roman"/>
                <w:spacing w:val="8"/>
                <w:sz w:val="24"/>
                <w:szCs w:val="24"/>
                <w:lang w:eastAsia="zh-CN"/>
              </w:rPr>
              <w:t>2007.7.31</w:t>
            </w:r>
            <w:r>
              <w:rPr>
                <w:rFonts w:ascii="Times New Roman" w:hAnsi="Times New Roman" w:cs="Times New Roman"/>
                <w:spacing w:val="8"/>
                <w:sz w:val="24"/>
                <w:szCs w:val="24"/>
                <w:lang w:eastAsia="zh-CN"/>
              </w:rPr>
              <w:t>）</w:t>
            </w:r>
            <w:r>
              <w:rPr>
                <w:rFonts w:ascii="Times New Roman" w:hAnsi="Times New Roman" w:cs="Times New Roman"/>
                <w:spacing w:val="-60"/>
                <w:sz w:val="24"/>
                <w:szCs w:val="24"/>
                <w:lang w:eastAsia="zh-CN"/>
              </w:rPr>
              <w:t xml:space="preserve"> </w:t>
            </w:r>
            <w:r>
              <w:rPr>
                <w:rFonts w:ascii="Times New Roman" w:hAnsi="Times New Roman" w:cs="Times New Roman"/>
                <w:spacing w:val="8"/>
                <w:sz w:val="24"/>
                <w:szCs w:val="24"/>
                <w:lang w:eastAsia="zh-CN"/>
              </w:rPr>
              <w:t>中提供的用</w:t>
            </w:r>
            <w:r>
              <w:rPr>
                <w:rFonts w:ascii="Times New Roman" w:hAnsi="Times New Roman" w:cs="Times New Roman"/>
                <w:spacing w:val="7"/>
                <w:sz w:val="24"/>
                <w:szCs w:val="24"/>
                <w:lang w:eastAsia="zh-CN"/>
              </w:rPr>
              <w:t>水定</w:t>
            </w:r>
            <w:r>
              <w:rPr>
                <w:rFonts w:ascii="Times New Roman" w:hAnsi="Times New Roman" w:cs="Times New Roman"/>
                <w:sz w:val="24"/>
                <w:szCs w:val="24"/>
                <w:lang w:eastAsia="zh-CN"/>
              </w:rPr>
              <w:t xml:space="preserve"> </w:t>
            </w:r>
            <w:r>
              <w:rPr>
                <w:rFonts w:ascii="Times New Roman" w:hAnsi="Times New Roman" w:cs="Times New Roman"/>
                <w:spacing w:val="5"/>
                <w:sz w:val="24"/>
                <w:szCs w:val="24"/>
                <w:lang w:eastAsia="zh-CN"/>
              </w:rPr>
              <w:t>额并通过对该地区用水情况的分析，确定本项目员工</w:t>
            </w:r>
            <w:r>
              <w:rPr>
                <w:rFonts w:ascii="Times New Roman" w:hAnsi="Times New Roman" w:cs="Times New Roman"/>
                <w:spacing w:val="4"/>
                <w:sz w:val="24"/>
                <w:szCs w:val="24"/>
                <w:lang w:eastAsia="zh-CN"/>
              </w:rPr>
              <w:t>生活用水量按</w:t>
            </w:r>
            <w:r>
              <w:rPr>
                <w:rFonts w:ascii="Times New Roman" w:hAnsi="Times New Roman" w:eastAsia="Times New Roman" w:cs="Times New Roman"/>
                <w:spacing w:val="4"/>
                <w:sz w:val="24"/>
                <w:szCs w:val="24"/>
                <w:lang w:eastAsia="zh-CN"/>
              </w:rPr>
              <w:t>50L/</w:t>
            </w:r>
            <w:r>
              <w:rPr>
                <w:rFonts w:ascii="Times New Roman" w:hAnsi="Times New Roman" w:cs="Times New Roman"/>
                <w:spacing w:val="4"/>
                <w:sz w:val="24"/>
                <w:szCs w:val="24"/>
                <w:lang w:eastAsia="zh-CN"/>
              </w:rPr>
              <w:t>人</w:t>
            </w:r>
            <w:r>
              <w:rPr>
                <w:rFonts w:ascii="Times New Roman" w:hAnsi="Times New Roman" w:cs="Times New Roman"/>
                <w:spacing w:val="-73"/>
                <w:sz w:val="24"/>
                <w:szCs w:val="24"/>
                <w:lang w:eastAsia="zh-CN"/>
              </w:rPr>
              <w:t xml:space="preserve"> </w:t>
            </w:r>
            <w:r>
              <w:rPr>
                <w:rFonts w:ascii="Times New Roman" w:hAnsi="Times New Roman" w:eastAsia="Times New Roman" w:cs="Times New Roman"/>
                <w:spacing w:val="4"/>
                <w:sz w:val="24"/>
                <w:szCs w:val="24"/>
                <w:lang w:eastAsia="zh-CN"/>
              </w:rPr>
              <w:t>·d</w:t>
            </w:r>
            <w:r>
              <w:rPr>
                <w:rFonts w:ascii="Times New Roman" w:hAnsi="Times New Roman" w:cs="Times New Roman"/>
                <w:spacing w:val="4"/>
                <w:sz w:val="24"/>
                <w:szCs w:val="24"/>
                <w:lang w:eastAsia="zh-CN"/>
              </w:rPr>
              <w:t>计，年工作时长</w:t>
            </w:r>
            <w:r>
              <w:rPr>
                <w:rFonts w:ascii="Times New Roman" w:hAnsi="Times New Roman" w:eastAsia="Times New Roman" w:cs="Times New Roman"/>
                <w:spacing w:val="4"/>
                <w:sz w:val="24"/>
                <w:szCs w:val="24"/>
                <w:lang w:eastAsia="zh-CN"/>
              </w:rPr>
              <w:t>365</w:t>
            </w:r>
            <w:r>
              <w:rPr>
                <w:rFonts w:ascii="Times New Roman" w:hAnsi="Times New Roman" w:cs="Times New Roman"/>
                <w:spacing w:val="6"/>
                <w:sz w:val="24"/>
                <w:szCs w:val="24"/>
                <w:lang w:eastAsia="zh-CN"/>
              </w:rPr>
              <w:t>天，则生活用水总量为</w:t>
            </w:r>
            <w:r>
              <w:rPr>
                <w:rFonts w:ascii="Times New Roman" w:hAnsi="Times New Roman" w:eastAsia="Times New Roman" w:cs="Times New Roman"/>
                <w:spacing w:val="6"/>
                <w:sz w:val="24"/>
                <w:szCs w:val="24"/>
                <w:lang w:eastAsia="zh-CN"/>
              </w:rPr>
              <w:t>1m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6"/>
                <w:sz w:val="24"/>
                <w:szCs w:val="24"/>
                <w:lang w:eastAsia="zh-CN"/>
              </w:rPr>
              <w:t>/d</w:t>
            </w:r>
            <w:r>
              <w:rPr>
                <w:rFonts w:ascii="Times New Roman" w:hAnsi="Times New Roman" w:cs="Times New Roman"/>
                <w:spacing w:val="6"/>
                <w:sz w:val="24"/>
                <w:szCs w:val="24"/>
                <w:lang w:eastAsia="zh-CN"/>
              </w:rPr>
              <w:t>（</w:t>
            </w:r>
            <w:r>
              <w:rPr>
                <w:rFonts w:ascii="Times New Roman" w:hAnsi="Times New Roman" w:eastAsia="Times New Roman" w:cs="Times New Roman"/>
                <w:spacing w:val="6"/>
                <w:sz w:val="24"/>
                <w:szCs w:val="24"/>
                <w:lang w:eastAsia="zh-CN"/>
              </w:rPr>
              <w:t>365m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6"/>
                <w:sz w:val="24"/>
                <w:szCs w:val="24"/>
                <w:lang w:eastAsia="zh-CN"/>
              </w:rPr>
              <w:t>/a</w:t>
            </w:r>
            <w:r>
              <w:rPr>
                <w:rFonts w:ascii="Times New Roman" w:hAnsi="Times New Roman" w:cs="Times New Roman"/>
                <w:spacing w:val="6"/>
                <w:sz w:val="24"/>
                <w:szCs w:val="24"/>
                <w:lang w:eastAsia="zh-CN"/>
              </w:rPr>
              <w:t>）。</w:t>
            </w:r>
          </w:p>
          <w:p>
            <w:pPr>
              <w:pStyle w:val="46"/>
              <w:spacing w:line="360" w:lineRule="auto"/>
              <w:ind w:firstLine="528" w:firstLineChars="200"/>
              <w:rPr>
                <w:rFonts w:ascii="Times New Roman" w:hAnsi="Times New Roman" w:cs="Times New Roman"/>
                <w:sz w:val="24"/>
                <w:szCs w:val="24"/>
                <w:lang w:eastAsia="zh-CN"/>
              </w:rPr>
            </w:pPr>
            <w:r>
              <w:rPr>
                <w:rFonts w:ascii="Times New Roman" w:hAnsi="Times New Roman" w:cs="Times New Roman"/>
                <w:spacing w:val="12"/>
                <w:sz w:val="24"/>
                <w:szCs w:val="24"/>
                <w:lang w:eastAsia="zh-CN"/>
              </w:rPr>
              <w:t>②</w:t>
            </w:r>
            <w:r>
              <w:rPr>
                <w:rFonts w:ascii="Times New Roman" w:hAnsi="Times New Roman" w:eastAsia="宋体" w:cs="Times New Roman"/>
                <w:spacing w:val="12"/>
                <w:sz w:val="24"/>
                <w:szCs w:val="24"/>
                <w:lang w:eastAsia="zh-CN"/>
              </w:rPr>
              <w:t xml:space="preserve"> </w:t>
            </w:r>
            <w:r>
              <w:rPr>
                <w:rFonts w:ascii="Times New Roman" w:hAnsi="Times New Roman" w:cs="Times New Roman"/>
                <w:spacing w:val="12"/>
                <w:sz w:val="24"/>
                <w:szCs w:val="24"/>
                <w:lang w:eastAsia="zh-CN"/>
              </w:rPr>
              <w:t>水生动物存放池和水生动物扣检池用水：本项目生产用水包括水生动物存放池和</w:t>
            </w:r>
            <w:r>
              <w:rPr>
                <w:rFonts w:ascii="Times New Roman" w:hAnsi="Times New Roman" w:cs="Times New Roman"/>
                <w:spacing w:val="11"/>
                <w:sz w:val="24"/>
                <w:szCs w:val="24"/>
                <w:lang w:eastAsia="zh-CN"/>
              </w:rPr>
              <w:t>水生</w:t>
            </w:r>
            <w:r>
              <w:rPr>
                <w:rFonts w:ascii="Times New Roman" w:hAnsi="Times New Roman" w:cs="Times New Roman"/>
                <w:sz w:val="24"/>
                <w:szCs w:val="24"/>
                <w:lang w:eastAsia="zh-CN"/>
              </w:rPr>
              <w:t xml:space="preserve"> </w:t>
            </w:r>
            <w:r>
              <w:rPr>
                <w:rFonts w:ascii="Times New Roman" w:hAnsi="Times New Roman" w:cs="Times New Roman"/>
                <w:spacing w:val="8"/>
                <w:sz w:val="24"/>
                <w:szCs w:val="24"/>
                <w:lang w:eastAsia="zh-CN"/>
              </w:rPr>
              <w:t>动物扣检池用水，共计</w:t>
            </w:r>
            <w:r>
              <w:rPr>
                <w:rFonts w:ascii="Times New Roman" w:hAnsi="Times New Roman" w:eastAsia="Times New Roman" w:cs="Times New Roman"/>
                <w:spacing w:val="8"/>
                <w:sz w:val="24"/>
                <w:szCs w:val="24"/>
                <w:lang w:eastAsia="zh-CN"/>
              </w:rPr>
              <w:t>160m</w:t>
            </w:r>
            <w:r>
              <w:rPr>
                <w:rFonts w:ascii="Times New Roman" w:hAnsi="Times New Roman" w:eastAsia="宋体" w:cs="Times New Roman"/>
                <w:spacing w:val="6"/>
                <w:sz w:val="24"/>
                <w:szCs w:val="24"/>
                <w:vertAlign w:val="superscript"/>
                <w:lang w:eastAsia="zh-CN"/>
              </w:rPr>
              <w:t>3</w:t>
            </w:r>
            <w:r>
              <w:rPr>
                <w:rFonts w:ascii="Times New Roman" w:hAnsi="Times New Roman" w:cs="Times New Roman"/>
                <w:spacing w:val="8"/>
                <w:sz w:val="24"/>
                <w:szCs w:val="24"/>
                <w:lang w:eastAsia="zh-CN"/>
              </w:rPr>
              <w:t>，类比同类型项目，用水量为</w:t>
            </w:r>
            <w:r>
              <w:rPr>
                <w:rFonts w:ascii="Times New Roman" w:hAnsi="Times New Roman" w:cs="Times New Roman"/>
                <w:spacing w:val="7"/>
                <w:sz w:val="24"/>
                <w:szCs w:val="24"/>
                <w:lang w:eastAsia="zh-CN"/>
              </w:rPr>
              <w:t>总容积的</w:t>
            </w:r>
            <w:r>
              <w:rPr>
                <w:rFonts w:ascii="Times New Roman" w:hAnsi="Times New Roman" w:eastAsia="Times New Roman" w:cs="Times New Roman"/>
                <w:spacing w:val="7"/>
                <w:sz w:val="24"/>
                <w:szCs w:val="24"/>
                <w:lang w:eastAsia="zh-CN"/>
              </w:rPr>
              <w:t>80%</w:t>
            </w:r>
            <w:r>
              <w:rPr>
                <w:rFonts w:ascii="Times New Roman" w:hAnsi="Times New Roman" w:cs="Times New Roman"/>
                <w:spacing w:val="7"/>
                <w:sz w:val="24"/>
                <w:szCs w:val="24"/>
                <w:lang w:eastAsia="zh-CN"/>
              </w:rPr>
              <w:t>，本项目生产用水量</w:t>
            </w:r>
            <w:r>
              <w:rPr>
                <w:rFonts w:ascii="Times New Roman" w:hAnsi="Times New Roman" w:cs="Times New Roman"/>
                <w:spacing w:val="4"/>
                <w:sz w:val="24"/>
                <w:szCs w:val="24"/>
                <w:lang w:eastAsia="zh-CN"/>
              </w:rPr>
              <w:t>为</w:t>
            </w:r>
            <w:r>
              <w:rPr>
                <w:rFonts w:ascii="Times New Roman" w:hAnsi="Times New Roman" w:eastAsia="Times New Roman" w:cs="Times New Roman"/>
                <w:spacing w:val="4"/>
                <w:sz w:val="24"/>
                <w:szCs w:val="24"/>
                <w:lang w:eastAsia="zh-CN"/>
              </w:rPr>
              <w:t>128m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4"/>
                <w:sz w:val="24"/>
                <w:szCs w:val="24"/>
                <w:lang w:eastAsia="zh-CN"/>
              </w:rPr>
              <w:t>/d</w:t>
            </w:r>
            <w:r>
              <w:rPr>
                <w:rFonts w:ascii="Times New Roman" w:hAnsi="Times New Roman" w:cs="Times New Roman"/>
                <w:spacing w:val="4"/>
                <w:sz w:val="24"/>
                <w:szCs w:val="24"/>
                <w:lang w:eastAsia="zh-CN"/>
              </w:rPr>
              <w:t>（</w:t>
            </w:r>
            <w:r>
              <w:rPr>
                <w:rFonts w:ascii="Times New Roman" w:hAnsi="Times New Roman" w:eastAsia="Times New Roman" w:cs="Times New Roman"/>
                <w:spacing w:val="4"/>
                <w:sz w:val="24"/>
                <w:szCs w:val="24"/>
                <w:lang w:eastAsia="zh-CN"/>
              </w:rPr>
              <w:t>46720m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4"/>
                <w:sz w:val="24"/>
                <w:szCs w:val="24"/>
                <w:lang w:eastAsia="zh-CN"/>
              </w:rPr>
              <w:t>/a</w:t>
            </w:r>
            <w:r>
              <w:rPr>
                <w:rFonts w:ascii="Times New Roman" w:hAnsi="Times New Roman" w:cs="Times New Roman"/>
                <w:spacing w:val="4"/>
                <w:sz w:val="24"/>
                <w:szCs w:val="24"/>
                <w:lang w:eastAsia="zh-CN"/>
              </w:rPr>
              <w:t>）。</w:t>
            </w:r>
          </w:p>
          <w:p>
            <w:pPr>
              <w:pStyle w:val="46"/>
              <w:spacing w:line="360" w:lineRule="auto"/>
              <w:ind w:firstLine="508" w:firstLineChars="200"/>
              <w:rPr>
                <w:rFonts w:ascii="Times New Roman" w:hAnsi="Times New Roman" w:eastAsia="宋体" w:cs="Times New Roman"/>
                <w:spacing w:val="7"/>
                <w:sz w:val="24"/>
                <w:szCs w:val="24"/>
                <w:lang w:eastAsia="zh-CN"/>
              </w:rPr>
            </w:pPr>
            <w:r>
              <w:rPr>
                <w:rFonts w:ascii="Times New Roman" w:hAnsi="Times New Roman" w:eastAsia="宋体" w:cs="Times New Roman"/>
                <w:spacing w:val="7"/>
                <w:sz w:val="24"/>
                <w:szCs w:val="24"/>
                <w:lang w:eastAsia="zh-CN"/>
              </w:rPr>
              <w:t>③ 清洗消毒室用水：本项目消毒室主要是用于对进场工作人员进行消毒，本项目工作定员为20人，每人的用水量约为3L/d，则消毒室用水量为0.06m</w:t>
            </w:r>
            <w:r>
              <w:rPr>
                <w:rFonts w:ascii="Times New Roman" w:hAnsi="Times New Roman" w:eastAsia="宋体" w:cs="Times New Roman"/>
                <w:spacing w:val="6"/>
                <w:sz w:val="24"/>
                <w:szCs w:val="24"/>
                <w:vertAlign w:val="superscript"/>
                <w:lang w:eastAsia="zh-CN"/>
              </w:rPr>
              <w:t>3</w:t>
            </w:r>
            <w:r>
              <w:rPr>
                <w:rFonts w:ascii="Times New Roman" w:hAnsi="Times New Roman" w:eastAsia="宋体" w:cs="Times New Roman"/>
                <w:spacing w:val="7"/>
                <w:sz w:val="24"/>
                <w:szCs w:val="24"/>
                <w:lang w:eastAsia="zh-CN"/>
              </w:rPr>
              <w:t>/d（21.9m</w:t>
            </w:r>
            <w:r>
              <w:rPr>
                <w:rFonts w:ascii="Times New Roman" w:hAnsi="Times New Roman" w:eastAsia="宋体" w:cs="Times New Roman"/>
                <w:spacing w:val="6"/>
                <w:sz w:val="24"/>
                <w:szCs w:val="24"/>
                <w:vertAlign w:val="superscript"/>
                <w:lang w:eastAsia="zh-CN"/>
              </w:rPr>
              <w:t>3</w:t>
            </w:r>
            <w:r>
              <w:rPr>
                <w:rFonts w:ascii="Times New Roman" w:hAnsi="Times New Roman" w:eastAsia="宋体" w:cs="Times New Roman"/>
                <w:spacing w:val="7"/>
                <w:sz w:val="24"/>
                <w:szCs w:val="24"/>
                <w:lang w:eastAsia="zh-CN"/>
              </w:rPr>
              <w:t>/a）。</w:t>
            </w:r>
          </w:p>
          <w:p>
            <w:pPr>
              <w:pStyle w:val="46"/>
              <w:spacing w:line="360" w:lineRule="auto"/>
              <w:ind w:firstLine="528" w:firstLineChars="200"/>
              <w:rPr>
                <w:rFonts w:ascii="Times New Roman" w:hAnsi="Times New Roman" w:eastAsia="宋体" w:cs="Times New Roman"/>
                <w:sz w:val="24"/>
                <w:szCs w:val="24"/>
                <w:lang w:eastAsia="zh-CN"/>
              </w:rPr>
            </w:pPr>
            <w:r>
              <w:rPr>
                <w:rFonts w:ascii="Times New Roman" w:hAnsi="Times New Roman" w:cs="Times New Roman"/>
                <w:spacing w:val="12"/>
                <w:sz w:val="24"/>
                <w:szCs w:val="24"/>
                <w:lang w:eastAsia="zh-CN"/>
              </w:rPr>
              <w:t>④</w:t>
            </w:r>
            <w:r>
              <w:rPr>
                <w:rFonts w:ascii="Times New Roman" w:hAnsi="Times New Roman" w:eastAsia="宋体" w:cs="Times New Roman"/>
                <w:spacing w:val="12"/>
                <w:sz w:val="24"/>
                <w:szCs w:val="24"/>
                <w:lang w:eastAsia="zh-CN"/>
              </w:rPr>
              <w:t xml:space="preserve"> </w:t>
            </w:r>
            <w:r>
              <w:rPr>
                <w:rFonts w:ascii="Times New Roman" w:hAnsi="Times New Roman" w:cs="Times New Roman"/>
                <w:spacing w:val="12"/>
                <w:sz w:val="24"/>
                <w:szCs w:val="24"/>
                <w:lang w:eastAsia="zh-CN"/>
              </w:rPr>
              <w:t>蒸汽设备用水：本项目的无害化处理区的设备运行过程中会需要蒸汽，首次注水</w:t>
            </w:r>
            <w:r>
              <w:rPr>
                <w:rFonts w:ascii="Times New Roman" w:hAnsi="Times New Roman" w:cs="Times New Roman"/>
                <w:spacing w:val="11"/>
                <w:sz w:val="24"/>
                <w:szCs w:val="24"/>
                <w:lang w:eastAsia="zh-CN"/>
              </w:rPr>
              <w:t>大约</w:t>
            </w:r>
            <w:r>
              <w:rPr>
                <w:rFonts w:ascii="Times New Roman" w:hAnsi="Times New Roman" w:eastAsia="Times New Roman" w:cs="Times New Roman"/>
                <w:spacing w:val="7"/>
                <w:sz w:val="24"/>
                <w:szCs w:val="24"/>
                <w:lang w:eastAsia="zh-CN"/>
              </w:rPr>
              <w:t>1t</w:t>
            </w:r>
            <w:r>
              <w:rPr>
                <w:rFonts w:ascii="Times New Roman" w:hAnsi="Times New Roman" w:cs="Times New Roman"/>
                <w:spacing w:val="7"/>
                <w:sz w:val="24"/>
                <w:szCs w:val="24"/>
                <w:lang w:eastAsia="zh-CN"/>
              </w:rPr>
              <w:t>，两台设备需要注水量为</w:t>
            </w:r>
            <w:r>
              <w:rPr>
                <w:rFonts w:ascii="Times New Roman" w:hAnsi="Times New Roman" w:eastAsia="Times New Roman" w:cs="Times New Roman"/>
                <w:spacing w:val="7"/>
                <w:sz w:val="24"/>
                <w:szCs w:val="24"/>
                <w:lang w:eastAsia="zh-CN"/>
              </w:rPr>
              <w:t>2t</w:t>
            </w:r>
            <w:r>
              <w:rPr>
                <w:rFonts w:ascii="Times New Roman" w:hAnsi="Times New Roman" w:cs="Times New Roman"/>
                <w:spacing w:val="7"/>
                <w:sz w:val="24"/>
                <w:szCs w:val="24"/>
                <w:lang w:eastAsia="zh-CN"/>
              </w:rPr>
              <w:t>，设备非全年运行，每年大约</w:t>
            </w:r>
            <w:r>
              <w:rPr>
                <w:rFonts w:ascii="Times New Roman" w:hAnsi="Times New Roman" w:eastAsia="Times New Roman" w:cs="Times New Roman"/>
                <w:spacing w:val="7"/>
                <w:sz w:val="24"/>
                <w:szCs w:val="24"/>
                <w:lang w:eastAsia="zh-CN"/>
              </w:rPr>
              <w:t>12</w:t>
            </w:r>
            <w:r>
              <w:rPr>
                <w:rFonts w:ascii="Times New Roman" w:hAnsi="Times New Roman" w:cs="Times New Roman"/>
                <w:spacing w:val="7"/>
                <w:sz w:val="24"/>
                <w:szCs w:val="24"/>
                <w:lang w:eastAsia="zh-CN"/>
              </w:rPr>
              <w:t>次左右，后续总注水量为</w:t>
            </w:r>
            <w:r>
              <w:rPr>
                <w:rFonts w:ascii="Times New Roman" w:hAnsi="Times New Roman" w:eastAsia="Times New Roman" w:cs="Times New Roman"/>
                <w:spacing w:val="7"/>
                <w:sz w:val="24"/>
                <w:szCs w:val="24"/>
                <w:lang w:eastAsia="zh-CN"/>
              </w:rPr>
              <w:t>6t</w:t>
            </w:r>
            <w:r>
              <w:rPr>
                <w:rFonts w:ascii="Times New Roman" w:hAnsi="Times New Roman" w:eastAsia="Times New Roman" w:cs="Times New Roman"/>
                <w:spacing w:val="-25"/>
                <w:sz w:val="24"/>
                <w:szCs w:val="24"/>
                <w:lang w:eastAsia="zh-CN"/>
              </w:rPr>
              <w:t xml:space="preserve"> </w:t>
            </w:r>
            <w:r>
              <w:rPr>
                <w:rFonts w:ascii="Times New Roman" w:hAnsi="Times New Roman" w:cs="Times New Roman"/>
                <w:spacing w:val="7"/>
                <w:sz w:val="24"/>
                <w:szCs w:val="24"/>
                <w:lang w:eastAsia="zh-CN"/>
              </w:rPr>
              <w:t>，则</w:t>
            </w:r>
            <w:r>
              <w:rPr>
                <w:rFonts w:ascii="Times New Roman" w:hAnsi="Times New Roman" w:cs="Times New Roman"/>
                <w:spacing w:val="5"/>
                <w:sz w:val="24"/>
                <w:szCs w:val="24"/>
                <w:lang w:eastAsia="zh-CN"/>
              </w:rPr>
              <w:t>这部分用水为</w:t>
            </w:r>
            <w:r>
              <w:rPr>
                <w:rFonts w:ascii="Times New Roman" w:hAnsi="Times New Roman" w:eastAsia="Times New Roman" w:cs="Times New Roman"/>
                <w:spacing w:val="5"/>
                <w:sz w:val="24"/>
                <w:szCs w:val="24"/>
                <w:lang w:eastAsia="zh-CN"/>
              </w:rPr>
              <w:t>8t/a</w:t>
            </w:r>
            <w:r>
              <w:rPr>
                <w:rFonts w:ascii="Times New Roman" w:hAnsi="Times New Roman" w:cs="Times New Roman"/>
                <w:spacing w:val="5"/>
                <w:sz w:val="24"/>
                <w:szCs w:val="24"/>
                <w:lang w:eastAsia="zh-CN"/>
              </w:rPr>
              <w:t>。</w:t>
            </w:r>
          </w:p>
          <w:p>
            <w:pPr>
              <w:pStyle w:val="46"/>
              <w:spacing w:line="360" w:lineRule="auto"/>
              <w:ind w:firstLine="516" w:firstLineChars="200"/>
              <w:rPr>
                <w:rFonts w:ascii="Times New Roman" w:hAnsi="Times New Roman" w:cs="Times New Roman"/>
                <w:sz w:val="24"/>
                <w:szCs w:val="24"/>
                <w:lang w:eastAsia="zh-CN"/>
              </w:rPr>
            </w:pPr>
            <w:r>
              <w:rPr>
                <w:rFonts w:ascii="Times New Roman" w:hAnsi="Times New Roman" w:cs="Times New Roman"/>
                <w:spacing w:val="9"/>
                <w:position w:val="15"/>
                <w:sz w:val="24"/>
                <w:szCs w:val="24"/>
                <w:lang w:eastAsia="zh-CN"/>
              </w:rPr>
              <w:t>⑤</w:t>
            </w:r>
            <w:r>
              <w:rPr>
                <w:rFonts w:ascii="Times New Roman" w:hAnsi="Times New Roman" w:eastAsia="宋体" w:cs="Times New Roman"/>
                <w:spacing w:val="9"/>
                <w:position w:val="15"/>
                <w:sz w:val="24"/>
                <w:szCs w:val="24"/>
                <w:lang w:eastAsia="zh-CN"/>
              </w:rPr>
              <w:t xml:space="preserve"> </w:t>
            </w:r>
            <w:r>
              <w:rPr>
                <w:rFonts w:ascii="Times New Roman" w:hAnsi="Times New Roman" w:cs="Times New Roman"/>
                <w:spacing w:val="9"/>
                <w:position w:val="15"/>
                <w:sz w:val="24"/>
                <w:szCs w:val="24"/>
                <w:lang w:eastAsia="zh-CN"/>
              </w:rPr>
              <w:t>绿化用水量：本项目绿化面积</w:t>
            </w:r>
            <w:r>
              <w:rPr>
                <w:rFonts w:ascii="Times New Roman" w:hAnsi="Times New Roman" w:eastAsia="Times New Roman" w:cs="Times New Roman"/>
                <w:spacing w:val="9"/>
                <w:position w:val="15"/>
                <w:sz w:val="24"/>
                <w:szCs w:val="24"/>
                <w:lang w:eastAsia="zh-CN"/>
              </w:rPr>
              <w:t>3500</w:t>
            </w:r>
            <w:r>
              <w:rPr>
                <w:rFonts w:ascii="Times New Roman" w:hAnsi="Times New Roman" w:eastAsia="Times New Roman" w:cs="Times New Roman"/>
                <w:spacing w:val="8"/>
                <w:position w:val="15"/>
                <w:sz w:val="24"/>
                <w:szCs w:val="24"/>
                <w:lang w:eastAsia="zh-CN"/>
              </w:rPr>
              <w:t>m</w:t>
            </w:r>
            <w:r>
              <w:rPr>
                <w:rFonts w:ascii="Times New Roman" w:hAnsi="Times New Roman" w:eastAsia="宋体" w:cs="Times New Roman"/>
                <w:spacing w:val="8"/>
                <w:position w:val="15"/>
                <w:sz w:val="24"/>
                <w:szCs w:val="24"/>
                <w:vertAlign w:val="superscript"/>
                <w:lang w:eastAsia="zh-CN"/>
              </w:rPr>
              <w:t>2</w:t>
            </w:r>
            <w:r>
              <w:rPr>
                <w:rFonts w:ascii="Times New Roman" w:hAnsi="Times New Roman" w:cs="Times New Roman"/>
                <w:spacing w:val="9"/>
                <w:position w:val="15"/>
                <w:sz w:val="24"/>
                <w:szCs w:val="24"/>
                <w:lang w:eastAsia="zh-CN"/>
              </w:rPr>
              <w:t>，绿化用水</w:t>
            </w:r>
            <w:r>
              <w:rPr>
                <w:rFonts w:ascii="Times New Roman" w:hAnsi="Times New Roman" w:cs="Times New Roman"/>
                <w:spacing w:val="8"/>
                <w:position w:val="15"/>
                <w:sz w:val="24"/>
                <w:szCs w:val="24"/>
                <w:lang w:eastAsia="zh-CN"/>
              </w:rPr>
              <w:t>按</w:t>
            </w:r>
            <w:r>
              <w:rPr>
                <w:rFonts w:ascii="Times New Roman" w:hAnsi="Times New Roman" w:eastAsia="Times New Roman" w:cs="Times New Roman"/>
                <w:spacing w:val="8"/>
                <w:position w:val="15"/>
                <w:sz w:val="24"/>
                <w:szCs w:val="24"/>
                <w:lang w:eastAsia="zh-CN"/>
              </w:rPr>
              <w:t>2L/m</w:t>
            </w:r>
            <w:r>
              <w:rPr>
                <w:rFonts w:ascii="Times New Roman" w:hAnsi="Times New Roman" w:eastAsia="宋体" w:cs="Times New Roman"/>
                <w:spacing w:val="8"/>
                <w:position w:val="15"/>
                <w:sz w:val="24"/>
                <w:szCs w:val="24"/>
                <w:vertAlign w:val="superscript"/>
                <w:lang w:eastAsia="zh-CN"/>
              </w:rPr>
              <w:t>2</w:t>
            </w:r>
            <w:r>
              <w:rPr>
                <w:rFonts w:ascii="Times New Roman" w:hAnsi="Times New Roman" w:eastAsia="Times New Roman" w:cs="Times New Roman"/>
                <w:spacing w:val="8"/>
                <w:position w:val="15"/>
                <w:sz w:val="24"/>
                <w:szCs w:val="24"/>
                <w:lang w:eastAsia="zh-CN"/>
              </w:rPr>
              <w:t>·d</w:t>
            </w:r>
            <w:r>
              <w:rPr>
                <w:rFonts w:ascii="Times New Roman" w:hAnsi="Times New Roman" w:cs="Times New Roman"/>
                <w:spacing w:val="8"/>
                <w:position w:val="15"/>
                <w:sz w:val="24"/>
                <w:szCs w:val="24"/>
                <w:lang w:eastAsia="zh-CN"/>
              </w:rPr>
              <w:t>计，年绿化时间</w:t>
            </w:r>
            <w:r>
              <w:rPr>
                <w:rFonts w:ascii="Times New Roman" w:hAnsi="Times New Roman" w:eastAsia="Times New Roman" w:cs="Times New Roman"/>
                <w:spacing w:val="8"/>
                <w:position w:val="15"/>
                <w:sz w:val="24"/>
                <w:szCs w:val="24"/>
                <w:lang w:eastAsia="zh-CN"/>
              </w:rPr>
              <w:t>180</w:t>
            </w:r>
            <w:r>
              <w:rPr>
                <w:rFonts w:ascii="Times New Roman" w:hAnsi="Times New Roman" w:cs="Times New Roman"/>
                <w:spacing w:val="8"/>
                <w:position w:val="15"/>
                <w:sz w:val="24"/>
                <w:szCs w:val="24"/>
                <w:lang w:eastAsia="zh-CN"/>
              </w:rPr>
              <w:t>天计</w:t>
            </w:r>
            <w:r>
              <w:rPr>
                <w:rFonts w:ascii="Times New Roman" w:hAnsi="Times New Roman" w:cs="Times New Roman"/>
                <w:spacing w:val="9"/>
                <w:position w:val="15"/>
                <w:sz w:val="24"/>
                <w:szCs w:val="24"/>
                <w:lang w:eastAsia="zh-CN"/>
              </w:rPr>
              <w:t>，则绿化用水量为7m</w:t>
            </w:r>
            <w:r>
              <w:rPr>
                <w:rFonts w:ascii="Times New Roman" w:hAnsi="Times New Roman" w:cs="Times New Roman"/>
                <w:spacing w:val="9"/>
                <w:position w:val="15"/>
                <w:sz w:val="24"/>
                <w:szCs w:val="24"/>
                <w:vertAlign w:val="superscript"/>
                <w:lang w:eastAsia="zh-CN"/>
              </w:rPr>
              <w:t>3</w:t>
            </w:r>
            <w:r>
              <w:rPr>
                <w:rFonts w:ascii="Times New Roman" w:hAnsi="Times New Roman" w:cs="Times New Roman"/>
                <w:spacing w:val="9"/>
                <w:position w:val="15"/>
                <w:sz w:val="24"/>
                <w:szCs w:val="24"/>
                <w:lang w:eastAsia="zh-CN"/>
              </w:rPr>
              <w:t>/d（1260m</w:t>
            </w:r>
            <w:r>
              <w:rPr>
                <w:rFonts w:ascii="Times New Roman" w:hAnsi="Times New Roman" w:cs="Times New Roman"/>
                <w:spacing w:val="9"/>
                <w:position w:val="15"/>
                <w:sz w:val="24"/>
                <w:szCs w:val="24"/>
                <w:vertAlign w:val="superscript"/>
                <w:lang w:eastAsia="zh-CN"/>
              </w:rPr>
              <w:t>3</w:t>
            </w:r>
            <w:r>
              <w:rPr>
                <w:rFonts w:ascii="Times New Roman" w:hAnsi="Times New Roman" w:cs="Times New Roman"/>
                <w:spacing w:val="9"/>
                <w:position w:val="15"/>
                <w:sz w:val="24"/>
                <w:szCs w:val="24"/>
                <w:lang w:eastAsia="zh-CN"/>
              </w:rPr>
              <w:t>/a）。</w:t>
            </w:r>
          </w:p>
          <w:p>
            <w:pPr>
              <w:pStyle w:val="46"/>
              <w:spacing w:line="360" w:lineRule="auto"/>
              <w:ind w:firstLine="500" w:firstLineChars="200"/>
              <w:rPr>
                <w:rFonts w:ascii="Times New Roman" w:hAnsi="Times New Roman" w:cs="Times New Roman"/>
                <w:sz w:val="24"/>
                <w:szCs w:val="24"/>
                <w:lang w:eastAsia="zh-CN"/>
              </w:rPr>
            </w:pPr>
            <w:r>
              <w:rPr>
                <w:rFonts w:ascii="Times New Roman" w:hAnsi="Times New Roman" w:cs="Times New Roman"/>
                <w:spacing w:val="5"/>
                <w:sz w:val="24"/>
                <w:szCs w:val="24"/>
                <w:lang w:eastAsia="zh-CN"/>
              </w:rPr>
              <w:t>（</w:t>
            </w:r>
            <w:r>
              <w:rPr>
                <w:rFonts w:ascii="Times New Roman" w:hAnsi="Times New Roman" w:eastAsia="Times New Roman" w:cs="Times New Roman"/>
                <w:spacing w:val="5"/>
                <w:sz w:val="24"/>
                <w:szCs w:val="24"/>
                <w:lang w:eastAsia="zh-CN"/>
              </w:rPr>
              <w:t>3</w:t>
            </w:r>
            <w:r>
              <w:rPr>
                <w:rFonts w:ascii="Times New Roman" w:hAnsi="Times New Roman" w:cs="Times New Roman"/>
                <w:spacing w:val="5"/>
                <w:sz w:val="24"/>
                <w:szCs w:val="24"/>
                <w:lang w:eastAsia="zh-CN"/>
              </w:rPr>
              <w:t>）排水</w:t>
            </w:r>
          </w:p>
          <w:p>
            <w:pPr>
              <w:pStyle w:val="46"/>
              <w:spacing w:line="360" w:lineRule="auto"/>
              <w:ind w:firstLine="524" w:firstLineChars="200"/>
              <w:rPr>
                <w:rFonts w:ascii="Times New Roman" w:hAnsi="Times New Roman" w:cs="Times New Roman"/>
                <w:sz w:val="24"/>
                <w:szCs w:val="24"/>
                <w:lang w:eastAsia="zh-CN"/>
              </w:rPr>
            </w:pPr>
            <w:r>
              <w:rPr>
                <w:rFonts w:ascii="Times New Roman" w:hAnsi="Times New Roman" w:cs="Times New Roman"/>
                <w:spacing w:val="11"/>
                <w:sz w:val="24"/>
                <w:szCs w:val="24"/>
                <w:lang w:eastAsia="zh-CN"/>
              </w:rPr>
              <w:t>本项目运营期水生动物存放池和水生动物扣检池废水产生</w:t>
            </w:r>
            <w:r>
              <w:rPr>
                <w:rFonts w:ascii="Times New Roman" w:hAnsi="Times New Roman" w:cs="Times New Roman"/>
                <w:spacing w:val="10"/>
                <w:sz w:val="24"/>
                <w:szCs w:val="24"/>
                <w:lang w:eastAsia="zh-CN"/>
              </w:rPr>
              <w:t>量按用水量的</w:t>
            </w:r>
            <w:r>
              <w:rPr>
                <w:rFonts w:ascii="Times New Roman" w:hAnsi="Times New Roman" w:eastAsia="Times New Roman" w:cs="Times New Roman"/>
                <w:spacing w:val="10"/>
                <w:sz w:val="24"/>
                <w:szCs w:val="24"/>
                <w:lang w:eastAsia="zh-CN"/>
              </w:rPr>
              <w:t>85%</w:t>
            </w:r>
            <w:r>
              <w:rPr>
                <w:rFonts w:ascii="Times New Roman" w:hAnsi="Times New Roman" w:cs="Times New Roman"/>
                <w:spacing w:val="10"/>
                <w:sz w:val="24"/>
                <w:szCs w:val="24"/>
                <w:lang w:eastAsia="zh-CN"/>
              </w:rPr>
              <w:t>计，则本项</w:t>
            </w:r>
            <w:r>
              <w:rPr>
                <w:rFonts w:ascii="Times New Roman" w:hAnsi="Times New Roman" w:cs="Times New Roman"/>
                <w:sz w:val="24"/>
                <w:szCs w:val="24"/>
                <w:lang w:eastAsia="zh-CN"/>
              </w:rPr>
              <w:t xml:space="preserve"> </w:t>
            </w:r>
            <w:r>
              <w:rPr>
                <w:rFonts w:hint="eastAsia" w:ascii="Times New Roman" w:hAnsi="Times New Roman" w:cs="Times New Roman"/>
                <w:sz w:val="24"/>
                <w:szCs w:val="24"/>
                <w:lang w:eastAsia="zh-CN"/>
              </w:rPr>
              <w:t>目水</w:t>
            </w:r>
            <w:r>
              <w:rPr>
                <w:rFonts w:ascii="Times New Roman" w:hAnsi="Times New Roman" w:cs="Times New Roman"/>
                <w:spacing w:val="7"/>
                <w:sz w:val="24"/>
                <w:szCs w:val="24"/>
                <w:lang w:eastAsia="zh-CN"/>
              </w:rPr>
              <w:t>生动物存放池和水生动物扣检池废水量为</w:t>
            </w:r>
            <w:r>
              <w:rPr>
                <w:rFonts w:ascii="Times New Roman" w:hAnsi="Times New Roman" w:eastAsia="Times New Roman" w:cs="Times New Roman"/>
                <w:spacing w:val="7"/>
                <w:sz w:val="24"/>
                <w:szCs w:val="24"/>
                <w:lang w:eastAsia="zh-CN"/>
              </w:rPr>
              <w:t>108.8m</w:t>
            </w:r>
            <w:r>
              <w:rPr>
                <w:rFonts w:ascii="Times New Roman" w:hAnsi="Times New Roman" w:eastAsia="宋体" w:cs="Times New Roman"/>
                <w:spacing w:val="7"/>
                <w:sz w:val="24"/>
                <w:szCs w:val="24"/>
                <w:vertAlign w:val="superscript"/>
                <w:lang w:eastAsia="zh-CN"/>
              </w:rPr>
              <w:t>3</w:t>
            </w:r>
            <w:r>
              <w:rPr>
                <w:rFonts w:ascii="Times New Roman" w:hAnsi="Times New Roman" w:eastAsia="Times New Roman" w:cs="Times New Roman"/>
                <w:spacing w:val="7"/>
                <w:sz w:val="24"/>
                <w:szCs w:val="24"/>
                <w:lang w:eastAsia="zh-CN"/>
              </w:rPr>
              <w:t>/d</w:t>
            </w:r>
            <w:r>
              <w:rPr>
                <w:rFonts w:ascii="Times New Roman" w:hAnsi="Times New Roman" w:cs="Times New Roman"/>
                <w:spacing w:val="7"/>
                <w:sz w:val="24"/>
                <w:szCs w:val="24"/>
                <w:lang w:eastAsia="zh-CN"/>
              </w:rPr>
              <w:t>（</w:t>
            </w:r>
            <w:r>
              <w:rPr>
                <w:rFonts w:ascii="Times New Roman" w:hAnsi="Times New Roman" w:eastAsia="Times New Roman" w:cs="Times New Roman"/>
                <w:spacing w:val="7"/>
                <w:sz w:val="24"/>
                <w:szCs w:val="24"/>
                <w:lang w:eastAsia="zh-CN"/>
              </w:rPr>
              <w:t>3971</w:t>
            </w:r>
            <w:r>
              <w:rPr>
                <w:rFonts w:ascii="Times New Roman" w:hAnsi="Times New Roman" w:eastAsia="Times New Roman" w:cs="Times New Roman"/>
                <w:spacing w:val="6"/>
                <w:sz w:val="24"/>
                <w:szCs w:val="24"/>
                <w:lang w:eastAsia="zh-CN"/>
              </w:rPr>
              <w:t>2m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6"/>
                <w:sz w:val="24"/>
                <w:szCs w:val="24"/>
                <w:lang w:eastAsia="zh-CN"/>
              </w:rPr>
              <w:t>/a</w:t>
            </w:r>
            <w:r>
              <w:rPr>
                <w:rFonts w:ascii="Times New Roman" w:hAnsi="Times New Roman" w:cs="Times New Roman"/>
                <w:spacing w:val="-6"/>
                <w:sz w:val="24"/>
                <w:szCs w:val="24"/>
                <w:lang w:eastAsia="zh-CN"/>
              </w:rPr>
              <w:t>）；</w:t>
            </w:r>
            <w:r>
              <w:rPr>
                <w:rFonts w:ascii="Times New Roman" w:hAnsi="Times New Roman" w:cs="Times New Roman"/>
                <w:spacing w:val="6"/>
                <w:sz w:val="24"/>
                <w:szCs w:val="24"/>
                <w:lang w:eastAsia="zh-CN"/>
              </w:rPr>
              <w:t>生活废水产生量按用水量的</w:t>
            </w:r>
            <w:r>
              <w:rPr>
                <w:rFonts w:ascii="Times New Roman" w:hAnsi="Times New Roman" w:eastAsia="Times New Roman" w:cs="Times New Roman"/>
                <w:spacing w:val="6"/>
                <w:sz w:val="24"/>
                <w:szCs w:val="24"/>
                <w:lang w:eastAsia="zh-CN"/>
              </w:rPr>
              <w:t>80%</w:t>
            </w:r>
            <w:r>
              <w:rPr>
                <w:rFonts w:ascii="Times New Roman" w:hAnsi="Times New Roman" w:cs="Times New Roman"/>
                <w:spacing w:val="6"/>
                <w:sz w:val="24"/>
                <w:szCs w:val="24"/>
                <w:lang w:eastAsia="zh-CN"/>
              </w:rPr>
              <w:t>计，则本项目生活污水量为</w:t>
            </w:r>
            <w:r>
              <w:rPr>
                <w:rFonts w:ascii="Times New Roman" w:hAnsi="Times New Roman" w:cs="Times New Roman"/>
                <w:spacing w:val="-38"/>
                <w:sz w:val="24"/>
                <w:szCs w:val="24"/>
                <w:lang w:eastAsia="zh-CN"/>
              </w:rPr>
              <w:t xml:space="preserve"> </w:t>
            </w:r>
            <w:r>
              <w:rPr>
                <w:rFonts w:ascii="Times New Roman" w:hAnsi="Times New Roman" w:eastAsia="Times New Roman" w:cs="Times New Roman"/>
                <w:spacing w:val="6"/>
                <w:sz w:val="24"/>
                <w:szCs w:val="24"/>
                <w:lang w:eastAsia="zh-CN"/>
              </w:rPr>
              <w:t>0.8m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6"/>
                <w:sz w:val="24"/>
                <w:szCs w:val="24"/>
                <w:lang w:eastAsia="zh-CN"/>
              </w:rPr>
              <w:t>/d</w:t>
            </w:r>
            <w:r>
              <w:rPr>
                <w:rFonts w:ascii="Times New Roman" w:hAnsi="Times New Roman" w:cs="Times New Roman"/>
                <w:spacing w:val="6"/>
                <w:sz w:val="24"/>
                <w:szCs w:val="24"/>
                <w:lang w:eastAsia="zh-CN"/>
              </w:rPr>
              <w:t>（</w:t>
            </w:r>
            <w:r>
              <w:rPr>
                <w:rFonts w:ascii="Times New Roman" w:hAnsi="Times New Roman" w:eastAsia="Times New Roman" w:cs="Times New Roman"/>
                <w:spacing w:val="6"/>
                <w:sz w:val="24"/>
                <w:szCs w:val="24"/>
                <w:lang w:eastAsia="zh-CN"/>
              </w:rPr>
              <w:t>292m</w:t>
            </w:r>
            <w:r>
              <w:rPr>
                <w:rFonts w:ascii="Times New Roman" w:hAnsi="Times New Roman" w:eastAsia="宋体" w:cs="Times New Roman"/>
                <w:spacing w:val="6"/>
                <w:sz w:val="24"/>
                <w:szCs w:val="24"/>
                <w:vertAlign w:val="superscript"/>
                <w:lang w:eastAsia="zh-CN"/>
              </w:rPr>
              <w:t>3</w:t>
            </w:r>
            <w:r>
              <w:rPr>
                <w:rFonts w:ascii="Times New Roman" w:hAnsi="Times New Roman" w:eastAsia="Times New Roman" w:cs="Times New Roman"/>
                <w:spacing w:val="6"/>
                <w:sz w:val="24"/>
                <w:szCs w:val="24"/>
                <w:lang w:eastAsia="zh-CN"/>
              </w:rPr>
              <w:t>/a</w:t>
            </w:r>
            <w:r>
              <w:rPr>
                <w:rFonts w:ascii="Times New Roman" w:hAnsi="Times New Roman" w:cs="Times New Roman"/>
                <w:spacing w:val="-10"/>
                <w:sz w:val="24"/>
                <w:szCs w:val="24"/>
                <w:lang w:eastAsia="zh-CN"/>
              </w:rPr>
              <w:t>）；</w:t>
            </w:r>
            <w:r>
              <w:rPr>
                <w:rFonts w:ascii="Times New Roman" w:hAnsi="Times New Roman" w:cs="Times New Roman"/>
                <w:spacing w:val="6"/>
                <w:sz w:val="24"/>
                <w:szCs w:val="24"/>
                <w:lang w:eastAsia="zh-CN"/>
              </w:rPr>
              <w:t>清洗消毒室废水按照用水量的</w:t>
            </w:r>
            <w:r>
              <w:rPr>
                <w:rFonts w:ascii="Times New Roman" w:hAnsi="Times New Roman" w:cs="Times New Roman"/>
                <w:spacing w:val="-39"/>
                <w:sz w:val="24"/>
                <w:szCs w:val="24"/>
                <w:lang w:eastAsia="zh-CN"/>
              </w:rPr>
              <w:t xml:space="preserve"> </w:t>
            </w:r>
            <w:r>
              <w:rPr>
                <w:rFonts w:ascii="Times New Roman" w:hAnsi="Times New Roman" w:eastAsia="Times New Roman" w:cs="Times New Roman"/>
                <w:spacing w:val="6"/>
                <w:sz w:val="24"/>
                <w:szCs w:val="24"/>
                <w:lang w:eastAsia="zh-CN"/>
              </w:rPr>
              <w:t>9</w:t>
            </w:r>
            <w:r>
              <w:rPr>
                <w:rFonts w:ascii="Times New Roman" w:hAnsi="Times New Roman" w:eastAsia="Times New Roman" w:cs="Times New Roman"/>
                <w:spacing w:val="5"/>
                <w:sz w:val="24"/>
                <w:szCs w:val="24"/>
                <w:lang w:eastAsia="zh-CN"/>
              </w:rPr>
              <w:t>0%</w:t>
            </w:r>
            <w:r>
              <w:rPr>
                <w:rFonts w:ascii="Times New Roman" w:hAnsi="Times New Roman" w:cs="Times New Roman"/>
                <w:spacing w:val="8"/>
                <w:sz w:val="24"/>
                <w:szCs w:val="24"/>
                <w:lang w:eastAsia="zh-CN"/>
              </w:rPr>
              <w:t>计算，则本项目地面清洗废水量为</w:t>
            </w:r>
            <w:r>
              <w:rPr>
                <w:rFonts w:ascii="Times New Roman" w:hAnsi="Times New Roman" w:cs="Times New Roman"/>
                <w:spacing w:val="-40"/>
                <w:sz w:val="24"/>
                <w:szCs w:val="24"/>
                <w:lang w:eastAsia="zh-CN"/>
              </w:rPr>
              <w:t xml:space="preserve"> </w:t>
            </w:r>
            <w:r>
              <w:rPr>
                <w:rFonts w:ascii="Times New Roman" w:hAnsi="Times New Roman" w:eastAsia="Times New Roman" w:cs="Times New Roman"/>
                <w:spacing w:val="8"/>
                <w:sz w:val="24"/>
                <w:szCs w:val="24"/>
                <w:lang w:eastAsia="zh-CN"/>
              </w:rPr>
              <w:t>0.054m</w:t>
            </w:r>
            <w:r>
              <w:rPr>
                <w:rFonts w:ascii="Times New Roman" w:hAnsi="Times New Roman" w:eastAsia="宋体" w:cs="Times New Roman"/>
                <w:spacing w:val="8"/>
                <w:sz w:val="24"/>
                <w:szCs w:val="24"/>
                <w:vertAlign w:val="superscript"/>
                <w:lang w:eastAsia="zh-CN"/>
              </w:rPr>
              <w:t>3</w:t>
            </w:r>
            <w:r>
              <w:rPr>
                <w:rFonts w:ascii="Times New Roman" w:hAnsi="Times New Roman" w:eastAsia="Times New Roman" w:cs="Times New Roman"/>
                <w:spacing w:val="8"/>
                <w:sz w:val="24"/>
                <w:szCs w:val="24"/>
                <w:lang w:eastAsia="zh-CN"/>
              </w:rPr>
              <w:t>/d</w:t>
            </w:r>
            <w:r>
              <w:rPr>
                <w:rFonts w:ascii="Times New Roman" w:hAnsi="Times New Roman" w:cs="Times New Roman"/>
                <w:spacing w:val="8"/>
                <w:sz w:val="24"/>
                <w:szCs w:val="24"/>
                <w:lang w:eastAsia="zh-CN"/>
              </w:rPr>
              <w:t>（</w:t>
            </w:r>
            <w:r>
              <w:rPr>
                <w:rFonts w:ascii="Times New Roman" w:hAnsi="Times New Roman" w:eastAsia="Times New Roman" w:cs="Times New Roman"/>
                <w:spacing w:val="8"/>
                <w:sz w:val="24"/>
                <w:szCs w:val="24"/>
                <w:lang w:eastAsia="zh-CN"/>
              </w:rPr>
              <w:t>19.</w:t>
            </w:r>
            <w:r>
              <w:rPr>
                <w:rFonts w:ascii="Times New Roman" w:hAnsi="Times New Roman" w:eastAsia="Times New Roman" w:cs="Times New Roman"/>
                <w:spacing w:val="7"/>
                <w:sz w:val="24"/>
                <w:szCs w:val="24"/>
                <w:lang w:eastAsia="zh-CN"/>
              </w:rPr>
              <w:t>71m</w:t>
            </w:r>
            <w:r>
              <w:rPr>
                <w:rFonts w:ascii="Times New Roman" w:hAnsi="Times New Roman" w:eastAsia="宋体" w:cs="Times New Roman"/>
                <w:spacing w:val="7"/>
                <w:sz w:val="24"/>
                <w:szCs w:val="24"/>
                <w:vertAlign w:val="superscript"/>
                <w:lang w:eastAsia="zh-CN"/>
              </w:rPr>
              <w:t>3</w:t>
            </w:r>
            <w:r>
              <w:rPr>
                <w:rFonts w:ascii="Times New Roman" w:hAnsi="Times New Roman" w:eastAsia="Times New Roman" w:cs="Times New Roman"/>
                <w:spacing w:val="7"/>
                <w:sz w:val="24"/>
                <w:szCs w:val="24"/>
                <w:lang w:eastAsia="zh-CN"/>
              </w:rPr>
              <w:t>/a</w:t>
            </w:r>
            <w:r>
              <w:rPr>
                <w:rFonts w:ascii="Times New Roman" w:hAnsi="Times New Roman" w:cs="Times New Roman"/>
                <w:spacing w:val="7"/>
                <w:sz w:val="24"/>
                <w:szCs w:val="24"/>
                <w:lang w:eastAsia="zh-CN"/>
              </w:rPr>
              <w:t>）。绿化用水全部被植物吸收、渗入</w:t>
            </w:r>
            <w:r>
              <w:rPr>
                <w:rFonts w:ascii="Times New Roman" w:hAnsi="Times New Roman" w:cs="Times New Roman"/>
                <w:spacing w:val="6"/>
                <w:sz w:val="24"/>
                <w:szCs w:val="24"/>
                <w:lang w:eastAsia="zh-CN"/>
              </w:rPr>
              <w:t>土壤或挥发。</w:t>
            </w:r>
          </w:p>
          <w:p>
            <w:pPr>
              <w:pStyle w:val="46"/>
              <w:spacing w:line="360" w:lineRule="auto"/>
              <w:ind w:firstLine="504" w:firstLineChars="200"/>
              <w:rPr>
                <w:rFonts w:ascii="Times New Roman" w:hAnsi="Times New Roman" w:eastAsia="宋体" w:cs="Times New Roman"/>
                <w:sz w:val="24"/>
                <w:szCs w:val="24"/>
                <w:lang w:eastAsia="zh-CN"/>
              </w:rPr>
            </w:pPr>
            <w:r>
              <w:rPr>
                <w:rFonts w:ascii="Times New Roman" w:hAnsi="Times New Roman" w:eastAsia="宋体" w:cs="Times New Roman"/>
                <w:spacing w:val="6"/>
                <w:sz w:val="24"/>
                <w:szCs w:val="24"/>
                <w:lang w:eastAsia="zh-CN"/>
              </w:rPr>
              <w:t>本项目用、排水情况见下表</w:t>
            </w:r>
            <w:r>
              <w:rPr>
                <w:rFonts w:ascii="Times New Roman" w:hAnsi="Times New Roman" w:eastAsia="宋体" w:cs="Times New Roman"/>
                <w:spacing w:val="-35"/>
                <w:sz w:val="24"/>
                <w:szCs w:val="24"/>
                <w:lang w:eastAsia="zh-CN"/>
              </w:rPr>
              <w:t>2-8</w:t>
            </w:r>
            <w:r>
              <w:rPr>
                <w:rFonts w:ascii="Times New Roman" w:hAnsi="Times New Roman" w:eastAsia="宋体" w:cs="Times New Roman"/>
                <w:spacing w:val="6"/>
                <w:sz w:val="24"/>
                <w:szCs w:val="24"/>
                <w:lang w:eastAsia="zh-CN"/>
              </w:rPr>
              <w:t>。</w:t>
            </w:r>
          </w:p>
          <w:p>
            <w:pPr>
              <w:topLinePunct/>
              <w:jc w:val="center"/>
              <w:rPr>
                <w:sz w:val="21"/>
                <w:szCs w:val="21"/>
              </w:rPr>
            </w:pPr>
            <w:r>
              <w:rPr>
                <w:b/>
                <w:bCs/>
                <w:sz w:val="21"/>
                <w:szCs w:val="21"/>
                <w:lang w:bidi="ar"/>
              </w:rPr>
              <w:t>表2-8     项目用、排水情况一览表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49"/>
              <w:gridCol w:w="1637"/>
              <w:gridCol w:w="941"/>
              <w:gridCol w:w="897"/>
              <w:gridCol w:w="921"/>
              <w:gridCol w:w="1041"/>
              <w:gridCol w:w="873"/>
              <w:gridCol w:w="10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449" w:type="dxa"/>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6"/>
                      <w14:textOutline w14:w="3797" w14:cap="sq" w14:cmpd="sng" w14:algn="ctr">
                        <w14:solidFill>
                          <w14:srgbClr w14:val="000000"/>
                        </w14:solidFill>
                        <w14:prstDash w14:val="solid"/>
                        <w14:bevel/>
                      </w14:textOutline>
                    </w:rPr>
                    <w:t>序号</w:t>
                  </w:r>
                </w:p>
              </w:tc>
              <w:tc>
                <w:tcPr>
                  <w:tcW w:w="1637" w:type="dxa"/>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6"/>
                    </w:rPr>
                    <w:t>用水类别</w:t>
                  </w:r>
                </w:p>
              </w:tc>
              <w:tc>
                <w:tcPr>
                  <w:tcW w:w="1838" w:type="dxa"/>
                  <w:gridSpan w:val="2"/>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cs="Times New Roman"/>
                      <w:spacing w:val="6"/>
                    </w:rPr>
                    <w:t>用水量</w:t>
                  </w:r>
                </w:p>
              </w:tc>
              <w:tc>
                <w:tcPr>
                  <w:tcW w:w="1962" w:type="dxa"/>
                  <w:gridSpan w:val="2"/>
                  <w:tcBorders>
                    <w:tl2br w:val="nil"/>
                    <w:tr2bl w:val="nil"/>
                  </w:tcBorders>
                  <w:shd w:val="clear" w:color="auto" w:fill="auto"/>
                  <w:vAlign w:val="center"/>
                </w:tcPr>
                <w:p>
                  <w:pPr>
                    <w:pStyle w:val="46"/>
                    <w:jc w:val="center"/>
                    <w:rPr>
                      <w:rFonts w:ascii="Times New Roman" w:hAnsi="Times New Roman" w:cs="Times New Roman"/>
                      <w:spacing w:val="5"/>
                      <w14:textOutline w14:w="3797" w14:cap="sq" w14:cmpd="sng" w14:algn="ctr">
                        <w14:solidFill>
                          <w14:srgbClr w14:val="000000"/>
                        </w14:solidFill>
                        <w14:prstDash w14:val="solid"/>
                        <w14:bevel/>
                      </w14:textOutline>
                    </w:rPr>
                  </w:pPr>
                  <w:r>
                    <w:rPr>
                      <w:rFonts w:ascii="Times New Roman" w:hAnsi="Times New Roman" w:cs="Times New Roman"/>
                      <w:spacing w:val="5"/>
                    </w:rPr>
                    <w:t>消耗量</w:t>
                  </w:r>
                </w:p>
              </w:tc>
              <w:tc>
                <w:tcPr>
                  <w:tcW w:w="1967" w:type="dxa"/>
                  <w:gridSpan w:val="2"/>
                  <w:tcBorders>
                    <w:tl2br w:val="nil"/>
                    <w:tr2bl w:val="nil"/>
                  </w:tcBorders>
                  <w:shd w:val="clear" w:color="auto" w:fill="auto"/>
                  <w:vAlign w:val="center"/>
                </w:tcPr>
                <w:p>
                  <w:pPr>
                    <w:pStyle w:val="46"/>
                    <w:jc w:val="center"/>
                    <w:rPr>
                      <w:rFonts w:ascii="Times New Roman" w:hAnsi="Times New Roman" w:cs="Times New Roman"/>
                      <w:spacing w:val="5"/>
                      <w14:textOutline w14:w="3797" w14:cap="sq" w14:cmpd="sng" w14:algn="ctr">
                        <w14:solidFill>
                          <w14:srgbClr w14:val="000000"/>
                        </w14:solidFill>
                        <w14:prstDash w14:val="solid"/>
                        <w14:bevel/>
                      </w14:textOutline>
                    </w:rPr>
                  </w:pPr>
                  <w:r>
                    <w:rPr>
                      <w:rFonts w:ascii="Times New Roman" w:hAnsi="Times New Roman" w:cs="Times New Roman"/>
                      <w:spacing w:val="8"/>
                    </w:rPr>
                    <w:t>废水排放量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26" w:hRule="atLeast"/>
                <w:jc w:val="center"/>
              </w:trPr>
              <w:tc>
                <w:tcPr>
                  <w:tcW w:w="449" w:type="dxa"/>
                  <w:vMerge w:val="continue"/>
                  <w:tcBorders>
                    <w:tl2br w:val="nil"/>
                    <w:tr2bl w:val="nil"/>
                  </w:tcBorders>
                  <w:shd w:val="clear" w:color="auto" w:fill="auto"/>
                  <w:vAlign w:val="center"/>
                </w:tcPr>
                <w:p>
                  <w:pPr>
                    <w:pStyle w:val="46"/>
                    <w:jc w:val="center"/>
                    <w:rPr>
                      <w:rFonts w:ascii="Times New Roman" w:hAnsi="Times New Roman" w:cs="Times New Roman"/>
                      <w:spacing w:val="6"/>
                      <w14:textOutline w14:w="3797" w14:cap="sq" w14:cmpd="sng" w14:algn="ctr">
                        <w14:solidFill>
                          <w14:srgbClr w14:val="000000"/>
                        </w14:solidFill>
                        <w14:prstDash w14:val="solid"/>
                        <w14:bevel/>
                      </w14:textOutline>
                    </w:rPr>
                  </w:pPr>
                </w:p>
              </w:tc>
              <w:tc>
                <w:tcPr>
                  <w:tcW w:w="1637" w:type="dxa"/>
                  <w:vMerge w:val="continue"/>
                  <w:tcBorders>
                    <w:tl2br w:val="nil"/>
                    <w:tr2bl w:val="nil"/>
                  </w:tcBorders>
                  <w:shd w:val="clear" w:color="auto" w:fill="auto"/>
                  <w:vAlign w:val="center"/>
                </w:tcPr>
                <w:p>
                  <w:pPr>
                    <w:pStyle w:val="46"/>
                    <w:jc w:val="center"/>
                    <w:rPr>
                      <w:rFonts w:ascii="Times New Roman" w:hAnsi="Times New Roman" w:cs="Times New Roman"/>
                      <w:spacing w:val="6"/>
                      <w14:textOutline w14:w="3797" w14:cap="sq" w14:cmpd="sng" w14:algn="ctr">
                        <w14:solidFill>
                          <w14:srgbClr w14:val="000000"/>
                        </w14:solidFill>
                        <w14:prstDash w14:val="solid"/>
                        <w14:bevel/>
                      </w14:textOutline>
                    </w:rPr>
                  </w:pPr>
                </w:p>
              </w:tc>
              <w:tc>
                <w:tcPr>
                  <w:tcW w:w="941"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/d)</w:t>
                  </w:r>
                </w:p>
              </w:tc>
              <w:tc>
                <w:tcPr>
                  <w:tcW w:w="897"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/a)</w:t>
                  </w:r>
                </w:p>
              </w:tc>
              <w:tc>
                <w:tcPr>
                  <w:tcW w:w="921"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/d)</w:t>
                  </w:r>
                </w:p>
              </w:tc>
              <w:tc>
                <w:tcPr>
                  <w:tcW w:w="1041"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/a)</w:t>
                  </w:r>
                </w:p>
              </w:tc>
              <w:tc>
                <w:tcPr>
                  <w:tcW w:w="873"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/d)</w:t>
                  </w:r>
                </w:p>
              </w:tc>
              <w:tc>
                <w:tcPr>
                  <w:tcW w:w="1094" w:type="dxa"/>
                  <w:tcBorders>
                    <w:tl2br w:val="nil"/>
                    <w:tr2bl w:val="nil"/>
                  </w:tcBorders>
                  <w:shd w:val="clear" w:color="auto" w:fill="auto"/>
                  <w:vAlign w:val="center"/>
                </w:tcPr>
                <w:p>
                  <w:pPr>
                    <w:jc w:val="center"/>
                    <w:rPr>
                      <w:spacing w:val="6"/>
                      <w14:textOutline w14:w="3797" w14:cap="sq" w14:cmpd="sng" w14:algn="ctr">
                        <w14:solidFill>
                          <w14:srgbClr w14:val="000000"/>
                        </w14:solidFill>
                        <w14:prstDash w14:val="solid"/>
                        <w14:bevel/>
                      </w14:textOutline>
                    </w:rPr>
                  </w:pPr>
                  <w:r>
                    <w:rPr>
                      <w:rFonts w:eastAsia="Times New Roman"/>
                      <w:spacing w:val="2"/>
                      <w:sz w:val="20"/>
                      <w:szCs w:val="20"/>
                    </w:rPr>
                    <w:t>(m</w:t>
                  </w:r>
                  <w:r>
                    <w:rPr>
                      <w:rFonts w:eastAsia="Times New Roman"/>
                      <w:spacing w:val="2"/>
                      <w:position w:val="6"/>
                      <w:sz w:val="13"/>
                      <w:szCs w:val="13"/>
                    </w:rPr>
                    <w:t>3</w:t>
                  </w:r>
                  <w:r>
                    <w:rPr>
                      <w:rFonts w:eastAsia="Times New Roman"/>
                      <w:spacing w:val="2"/>
                      <w:sz w:val="20"/>
                      <w:szCs w:val="20"/>
                    </w:rPr>
                    <w: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49" w:type="dxa"/>
                  <w:tcBorders>
                    <w:tl2br w:val="nil"/>
                    <w:tr2bl w:val="nil"/>
                  </w:tcBorders>
                  <w:shd w:val="clear" w:color="auto" w:fill="auto"/>
                  <w:vAlign w:val="center"/>
                </w:tcPr>
                <w:p>
                  <w:pPr>
                    <w:jc w:val="center"/>
                    <w:rPr>
                      <w:sz w:val="21"/>
                      <w:szCs w:val="21"/>
                    </w:rPr>
                  </w:pPr>
                  <w:r>
                    <w:rPr>
                      <w:rFonts w:eastAsia="Times New Roman"/>
                      <w:sz w:val="20"/>
                      <w:szCs w:val="20"/>
                    </w:rPr>
                    <w:t>1</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rPr>
                  </w:pPr>
                  <w:r>
                    <w:rPr>
                      <w:rFonts w:ascii="Times New Roman" w:hAnsi="Times New Roman" w:cs="Times New Roman"/>
                      <w:spacing w:val="6"/>
                    </w:rPr>
                    <w:t>生活用水</w:t>
                  </w:r>
                </w:p>
              </w:tc>
              <w:tc>
                <w:tcPr>
                  <w:tcW w:w="941" w:type="dxa"/>
                  <w:tcBorders>
                    <w:tl2br w:val="nil"/>
                    <w:tr2bl w:val="nil"/>
                  </w:tcBorders>
                  <w:shd w:val="clear" w:color="auto" w:fill="auto"/>
                  <w:vAlign w:val="center"/>
                </w:tcPr>
                <w:p>
                  <w:pPr>
                    <w:jc w:val="center"/>
                    <w:rPr>
                      <w:sz w:val="21"/>
                      <w:szCs w:val="21"/>
                    </w:rPr>
                  </w:pPr>
                  <w:r>
                    <w:rPr>
                      <w:rFonts w:eastAsia="Times New Roman"/>
                      <w:sz w:val="20"/>
                      <w:szCs w:val="20"/>
                    </w:rPr>
                    <w:t>1</w:t>
                  </w:r>
                </w:p>
              </w:tc>
              <w:tc>
                <w:tcPr>
                  <w:tcW w:w="897" w:type="dxa"/>
                  <w:tcBorders>
                    <w:tl2br w:val="nil"/>
                    <w:tr2bl w:val="nil"/>
                  </w:tcBorders>
                  <w:shd w:val="clear" w:color="auto" w:fill="auto"/>
                  <w:vAlign w:val="center"/>
                </w:tcPr>
                <w:p>
                  <w:pPr>
                    <w:jc w:val="center"/>
                    <w:rPr>
                      <w:sz w:val="21"/>
                      <w:szCs w:val="21"/>
                    </w:rPr>
                  </w:pPr>
                  <w:r>
                    <w:rPr>
                      <w:rFonts w:eastAsia="Times New Roman"/>
                      <w:spacing w:val="2"/>
                      <w:sz w:val="20"/>
                      <w:szCs w:val="20"/>
                    </w:rPr>
                    <w:t>365</w:t>
                  </w:r>
                </w:p>
              </w:tc>
              <w:tc>
                <w:tcPr>
                  <w:tcW w:w="921" w:type="dxa"/>
                  <w:tcBorders>
                    <w:tl2br w:val="nil"/>
                    <w:tr2bl w:val="nil"/>
                  </w:tcBorders>
                  <w:shd w:val="clear" w:color="auto" w:fill="auto"/>
                  <w:vAlign w:val="center"/>
                </w:tcPr>
                <w:p>
                  <w:pPr>
                    <w:jc w:val="center"/>
                    <w:rPr>
                      <w:sz w:val="21"/>
                      <w:szCs w:val="21"/>
                    </w:rPr>
                  </w:pPr>
                  <w:r>
                    <w:rPr>
                      <w:rFonts w:eastAsia="Times New Roman"/>
                      <w:spacing w:val="1"/>
                      <w:sz w:val="20"/>
                      <w:szCs w:val="20"/>
                    </w:rPr>
                    <w:t>0.2</w:t>
                  </w:r>
                </w:p>
              </w:tc>
              <w:tc>
                <w:tcPr>
                  <w:tcW w:w="1041" w:type="dxa"/>
                  <w:tcBorders>
                    <w:tl2br w:val="nil"/>
                    <w:tr2bl w:val="nil"/>
                  </w:tcBorders>
                  <w:shd w:val="clear" w:color="auto" w:fill="auto"/>
                  <w:vAlign w:val="center"/>
                </w:tcPr>
                <w:p>
                  <w:pPr>
                    <w:jc w:val="center"/>
                    <w:rPr>
                      <w:sz w:val="21"/>
                      <w:szCs w:val="21"/>
                    </w:rPr>
                  </w:pPr>
                  <w:r>
                    <w:rPr>
                      <w:rFonts w:eastAsia="Times New Roman"/>
                      <w:spacing w:val="1"/>
                      <w:sz w:val="20"/>
                      <w:szCs w:val="20"/>
                    </w:rPr>
                    <w:t>73</w:t>
                  </w:r>
                </w:p>
              </w:tc>
              <w:tc>
                <w:tcPr>
                  <w:tcW w:w="873" w:type="dxa"/>
                  <w:tcBorders>
                    <w:tl2br w:val="nil"/>
                    <w:tr2bl w:val="nil"/>
                  </w:tcBorders>
                  <w:shd w:val="clear" w:color="auto" w:fill="auto"/>
                  <w:vAlign w:val="center"/>
                </w:tcPr>
                <w:p>
                  <w:pPr>
                    <w:jc w:val="center"/>
                    <w:rPr>
                      <w:sz w:val="21"/>
                      <w:szCs w:val="21"/>
                    </w:rPr>
                  </w:pPr>
                  <w:r>
                    <w:rPr>
                      <w:rFonts w:eastAsia="Times New Roman"/>
                      <w:spacing w:val="1"/>
                      <w:sz w:val="20"/>
                      <w:szCs w:val="20"/>
                    </w:rPr>
                    <w:t>0.8</w:t>
                  </w:r>
                </w:p>
              </w:tc>
              <w:tc>
                <w:tcPr>
                  <w:tcW w:w="1094" w:type="dxa"/>
                  <w:tcBorders>
                    <w:tl2br w:val="nil"/>
                    <w:tr2bl w:val="nil"/>
                  </w:tcBorders>
                  <w:shd w:val="clear" w:color="auto" w:fill="auto"/>
                  <w:vAlign w:val="center"/>
                </w:tcPr>
                <w:p>
                  <w:pPr>
                    <w:jc w:val="center"/>
                    <w:rPr>
                      <w:sz w:val="21"/>
                      <w:szCs w:val="21"/>
                    </w:rPr>
                  </w:pPr>
                  <w:r>
                    <w:rPr>
                      <w:rFonts w:eastAsia="Times New Roman"/>
                      <w:spacing w:val="3"/>
                      <w:sz w:val="20"/>
                      <w:szCs w:val="20"/>
                    </w:rPr>
                    <w:t>292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449" w:type="dxa"/>
                  <w:tcBorders>
                    <w:tl2br w:val="nil"/>
                    <w:tr2bl w:val="nil"/>
                  </w:tcBorders>
                  <w:shd w:val="clear" w:color="auto" w:fill="auto"/>
                  <w:vAlign w:val="center"/>
                </w:tcPr>
                <w:p>
                  <w:pPr>
                    <w:jc w:val="center"/>
                    <w:rPr>
                      <w:sz w:val="21"/>
                      <w:szCs w:val="21"/>
                      <w:lang w:bidi="ar"/>
                    </w:rPr>
                  </w:pPr>
                  <w:r>
                    <w:rPr>
                      <w:rFonts w:eastAsia="Times New Roman"/>
                      <w:sz w:val="20"/>
                      <w:szCs w:val="20"/>
                    </w:rPr>
                    <w:t>2</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8"/>
                      <w:lang w:eastAsia="zh-CN"/>
                    </w:rPr>
                    <w:t>水生动物存放池和水生动物扣检</w:t>
                  </w:r>
                  <w:r>
                    <w:rPr>
                      <w:rFonts w:ascii="Times New Roman" w:hAnsi="Times New Roman" w:cs="Times New Roman"/>
                      <w:spacing w:val="6"/>
                      <w:lang w:eastAsia="zh-CN"/>
                    </w:rPr>
                    <w:t>池用水</w:t>
                  </w:r>
                </w:p>
              </w:tc>
              <w:tc>
                <w:tcPr>
                  <w:tcW w:w="941"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128</w:t>
                  </w:r>
                </w:p>
              </w:tc>
              <w:tc>
                <w:tcPr>
                  <w:tcW w:w="897" w:type="dxa"/>
                  <w:tcBorders>
                    <w:tl2br w:val="nil"/>
                    <w:tr2bl w:val="nil"/>
                  </w:tcBorders>
                  <w:shd w:val="clear" w:color="auto" w:fill="auto"/>
                  <w:vAlign w:val="center"/>
                </w:tcPr>
                <w:p>
                  <w:pPr>
                    <w:jc w:val="center"/>
                    <w:rPr>
                      <w:sz w:val="21"/>
                      <w:szCs w:val="21"/>
                      <w:lang w:bidi="ar"/>
                    </w:rPr>
                  </w:pPr>
                  <w:r>
                    <w:rPr>
                      <w:rFonts w:eastAsia="Times New Roman"/>
                      <w:spacing w:val="4"/>
                      <w:sz w:val="20"/>
                      <w:szCs w:val="20"/>
                    </w:rPr>
                    <w:t>46720</w:t>
                  </w:r>
                </w:p>
              </w:tc>
              <w:tc>
                <w:tcPr>
                  <w:tcW w:w="921"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19.2</w:t>
                  </w:r>
                </w:p>
              </w:tc>
              <w:tc>
                <w:tcPr>
                  <w:tcW w:w="1041"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7008</w:t>
                  </w:r>
                </w:p>
              </w:tc>
              <w:tc>
                <w:tcPr>
                  <w:tcW w:w="873"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108.8</w:t>
                  </w:r>
                </w:p>
              </w:tc>
              <w:tc>
                <w:tcPr>
                  <w:tcW w:w="1094"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39712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449" w:type="dxa"/>
                  <w:tcBorders>
                    <w:tl2br w:val="nil"/>
                    <w:tr2bl w:val="nil"/>
                  </w:tcBorders>
                  <w:shd w:val="clear" w:color="auto" w:fill="auto"/>
                  <w:vAlign w:val="center"/>
                </w:tcPr>
                <w:p>
                  <w:pPr>
                    <w:jc w:val="center"/>
                    <w:rPr>
                      <w:sz w:val="21"/>
                      <w:szCs w:val="21"/>
                      <w:lang w:bidi="ar"/>
                    </w:rPr>
                  </w:pPr>
                  <w:r>
                    <w:rPr>
                      <w:rFonts w:eastAsia="Times New Roman"/>
                      <w:sz w:val="20"/>
                      <w:szCs w:val="20"/>
                    </w:rPr>
                    <w:t>3</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8"/>
                      <w:lang w:eastAsia="zh-CN"/>
                    </w:rPr>
                    <w:t>清洗消毒室用水</w:t>
                  </w:r>
                </w:p>
              </w:tc>
              <w:tc>
                <w:tcPr>
                  <w:tcW w:w="941"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0.06</w:t>
                  </w:r>
                </w:p>
              </w:tc>
              <w:tc>
                <w:tcPr>
                  <w:tcW w:w="897"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21.9</w:t>
                  </w:r>
                </w:p>
              </w:tc>
              <w:tc>
                <w:tcPr>
                  <w:tcW w:w="921"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0.006</w:t>
                  </w:r>
                </w:p>
              </w:tc>
              <w:tc>
                <w:tcPr>
                  <w:tcW w:w="1041"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2.19</w:t>
                  </w:r>
                </w:p>
              </w:tc>
              <w:tc>
                <w:tcPr>
                  <w:tcW w:w="873"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0.054</w:t>
                  </w:r>
                </w:p>
              </w:tc>
              <w:tc>
                <w:tcPr>
                  <w:tcW w:w="1094"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19.71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449"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4</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7"/>
                      <w:lang w:eastAsia="zh-CN"/>
                    </w:rPr>
                    <w:t>蒸汽设备用水</w:t>
                  </w:r>
                </w:p>
              </w:tc>
              <w:tc>
                <w:tcPr>
                  <w:tcW w:w="941"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w:t>
                  </w:r>
                </w:p>
              </w:tc>
              <w:tc>
                <w:tcPr>
                  <w:tcW w:w="897" w:type="dxa"/>
                  <w:tcBorders>
                    <w:tl2br w:val="nil"/>
                    <w:tr2bl w:val="nil"/>
                  </w:tcBorders>
                  <w:shd w:val="clear" w:color="auto" w:fill="auto"/>
                  <w:vAlign w:val="center"/>
                </w:tcPr>
                <w:p>
                  <w:pPr>
                    <w:jc w:val="center"/>
                    <w:rPr>
                      <w:sz w:val="21"/>
                      <w:szCs w:val="21"/>
                      <w:lang w:bidi="ar"/>
                    </w:rPr>
                  </w:pPr>
                  <w:r>
                    <w:rPr>
                      <w:rFonts w:eastAsia="Times New Roman"/>
                      <w:sz w:val="20"/>
                      <w:szCs w:val="20"/>
                    </w:rPr>
                    <w:t>8</w:t>
                  </w:r>
                </w:p>
              </w:tc>
              <w:tc>
                <w:tcPr>
                  <w:tcW w:w="921"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w:t>
                  </w:r>
                </w:p>
              </w:tc>
              <w:tc>
                <w:tcPr>
                  <w:tcW w:w="1041" w:type="dxa"/>
                  <w:tcBorders>
                    <w:tl2br w:val="nil"/>
                    <w:tr2bl w:val="nil"/>
                  </w:tcBorders>
                  <w:shd w:val="clear" w:color="auto" w:fill="auto"/>
                  <w:vAlign w:val="center"/>
                </w:tcPr>
                <w:p>
                  <w:pPr>
                    <w:jc w:val="center"/>
                    <w:rPr>
                      <w:sz w:val="21"/>
                      <w:szCs w:val="21"/>
                      <w:lang w:bidi="ar"/>
                    </w:rPr>
                  </w:pPr>
                  <w:r>
                    <w:rPr>
                      <w:rFonts w:eastAsia="Times New Roman"/>
                      <w:sz w:val="20"/>
                      <w:szCs w:val="20"/>
                    </w:rPr>
                    <w:t>8</w:t>
                  </w:r>
                </w:p>
              </w:tc>
              <w:tc>
                <w:tcPr>
                  <w:tcW w:w="873" w:type="dxa"/>
                  <w:tcBorders>
                    <w:tl2br w:val="nil"/>
                    <w:tr2bl w:val="nil"/>
                  </w:tcBorders>
                  <w:shd w:val="clear" w:color="auto" w:fill="auto"/>
                  <w:vAlign w:val="center"/>
                </w:tcPr>
                <w:p>
                  <w:pPr>
                    <w:jc w:val="center"/>
                    <w:rPr>
                      <w:sz w:val="21"/>
                      <w:szCs w:val="21"/>
                      <w:lang w:bidi="ar"/>
                    </w:rPr>
                  </w:pPr>
                  <w:r>
                    <w:rPr>
                      <w:rFonts w:eastAsia="Times New Roman"/>
                      <w:sz w:val="20"/>
                      <w:szCs w:val="20"/>
                    </w:rPr>
                    <w:t>0</w:t>
                  </w:r>
                </w:p>
              </w:tc>
              <w:tc>
                <w:tcPr>
                  <w:tcW w:w="1094" w:type="dxa"/>
                  <w:tcBorders>
                    <w:tl2br w:val="nil"/>
                    <w:tr2bl w:val="nil"/>
                  </w:tcBorders>
                  <w:shd w:val="clear" w:color="auto" w:fill="auto"/>
                  <w:vAlign w:val="center"/>
                </w:tcPr>
                <w:p>
                  <w:pPr>
                    <w:jc w:val="center"/>
                    <w:rPr>
                      <w:sz w:val="21"/>
                      <w:szCs w:val="21"/>
                      <w:lang w:bidi="ar"/>
                    </w:rPr>
                  </w:pPr>
                  <w:r>
                    <w:rPr>
                      <w:rFonts w:eastAsia="Times New Roman"/>
                      <w:sz w:val="20"/>
                      <w:szCs w:val="20"/>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449" w:type="dxa"/>
                  <w:tcBorders>
                    <w:tl2br w:val="nil"/>
                    <w:tr2bl w:val="nil"/>
                  </w:tcBorders>
                  <w:shd w:val="clear" w:color="auto" w:fill="auto"/>
                  <w:vAlign w:val="center"/>
                </w:tcPr>
                <w:p>
                  <w:pPr>
                    <w:jc w:val="center"/>
                    <w:rPr>
                      <w:sz w:val="21"/>
                      <w:szCs w:val="21"/>
                      <w:lang w:bidi="ar"/>
                    </w:rPr>
                  </w:pPr>
                  <w:r>
                    <w:rPr>
                      <w:rFonts w:eastAsia="Times New Roman"/>
                      <w:sz w:val="20"/>
                      <w:szCs w:val="20"/>
                    </w:rPr>
                    <w:t>5</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7"/>
                      <w:lang w:eastAsia="zh-CN"/>
                    </w:rPr>
                    <w:t>绿化用水量</w:t>
                  </w:r>
                </w:p>
              </w:tc>
              <w:tc>
                <w:tcPr>
                  <w:tcW w:w="941" w:type="dxa"/>
                  <w:tcBorders>
                    <w:tl2br w:val="nil"/>
                    <w:tr2bl w:val="nil"/>
                  </w:tcBorders>
                  <w:shd w:val="clear" w:color="auto" w:fill="auto"/>
                  <w:vAlign w:val="center"/>
                </w:tcPr>
                <w:p>
                  <w:pPr>
                    <w:jc w:val="center"/>
                    <w:rPr>
                      <w:sz w:val="21"/>
                      <w:szCs w:val="21"/>
                      <w:lang w:bidi="ar"/>
                    </w:rPr>
                  </w:pPr>
                  <w:r>
                    <w:rPr>
                      <w:rFonts w:eastAsia="Times New Roman"/>
                      <w:sz w:val="20"/>
                      <w:szCs w:val="20"/>
                    </w:rPr>
                    <w:t>7</w:t>
                  </w:r>
                </w:p>
              </w:tc>
              <w:tc>
                <w:tcPr>
                  <w:tcW w:w="897"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1260</w:t>
                  </w:r>
                </w:p>
              </w:tc>
              <w:tc>
                <w:tcPr>
                  <w:tcW w:w="921" w:type="dxa"/>
                  <w:tcBorders>
                    <w:tl2br w:val="nil"/>
                    <w:tr2bl w:val="nil"/>
                  </w:tcBorders>
                  <w:shd w:val="clear" w:color="auto" w:fill="auto"/>
                  <w:vAlign w:val="center"/>
                </w:tcPr>
                <w:p>
                  <w:pPr>
                    <w:jc w:val="center"/>
                    <w:rPr>
                      <w:sz w:val="21"/>
                      <w:szCs w:val="21"/>
                      <w:lang w:bidi="ar"/>
                    </w:rPr>
                  </w:pPr>
                  <w:r>
                    <w:rPr>
                      <w:rFonts w:eastAsia="Times New Roman"/>
                      <w:sz w:val="20"/>
                      <w:szCs w:val="20"/>
                    </w:rPr>
                    <w:t>7</w:t>
                  </w:r>
                </w:p>
              </w:tc>
              <w:tc>
                <w:tcPr>
                  <w:tcW w:w="1041"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1260</w:t>
                  </w:r>
                </w:p>
              </w:tc>
              <w:tc>
                <w:tcPr>
                  <w:tcW w:w="873" w:type="dxa"/>
                  <w:tcBorders>
                    <w:tl2br w:val="nil"/>
                    <w:tr2bl w:val="nil"/>
                  </w:tcBorders>
                  <w:shd w:val="clear" w:color="auto" w:fill="auto"/>
                  <w:vAlign w:val="center"/>
                </w:tcPr>
                <w:p>
                  <w:pPr>
                    <w:jc w:val="center"/>
                    <w:rPr>
                      <w:sz w:val="21"/>
                      <w:szCs w:val="21"/>
                      <w:lang w:bidi="ar"/>
                    </w:rPr>
                  </w:pPr>
                  <w:r>
                    <w:rPr>
                      <w:rFonts w:eastAsia="Times New Roman"/>
                      <w:sz w:val="20"/>
                      <w:szCs w:val="20"/>
                    </w:rPr>
                    <w:t>0</w:t>
                  </w:r>
                </w:p>
              </w:tc>
              <w:tc>
                <w:tcPr>
                  <w:tcW w:w="1094" w:type="dxa"/>
                  <w:tcBorders>
                    <w:tl2br w:val="nil"/>
                    <w:tr2bl w:val="nil"/>
                  </w:tcBorders>
                  <w:shd w:val="clear" w:color="auto" w:fill="auto"/>
                  <w:vAlign w:val="center"/>
                </w:tcPr>
                <w:p>
                  <w:pPr>
                    <w:jc w:val="center"/>
                    <w:rPr>
                      <w:sz w:val="21"/>
                      <w:szCs w:val="21"/>
                      <w:lang w:bidi="ar"/>
                    </w:rPr>
                  </w:pPr>
                  <w:r>
                    <w:rPr>
                      <w:rFonts w:eastAsia="Times New Roman"/>
                      <w:sz w:val="20"/>
                      <w:szCs w:val="20"/>
                    </w:rPr>
                    <w:t>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449" w:type="dxa"/>
                  <w:tcBorders>
                    <w:tl2br w:val="nil"/>
                    <w:tr2bl w:val="nil"/>
                  </w:tcBorders>
                  <w:shd w:val="clear" w:color="auto" w:fill="auto"/>
                  <w:vAlign w:val="center"/>
                </w:tcPr>
                <w:p>
                  <w:pPr>
                    <w:jc w:val="center"/>
                    <w:rPr>
                      <w:sz w:val="20"/>
                      <w:szCs w:val="20"/>
                    </w:rPr>
                  </w:pPr>
                  <w:r>
                    <w:rPr>
                      <w:sz w:val="20"/>
                      <w:szCs w:val="20"/>
                    </w:rPr>
                    <w:t>6</w:t>
                  </w:r>
                </w:p>
              </w:tc>
              <w:tc>
                <w:tcPr>
                  <w:tcW w:w="1637"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cs="Times New Roman"/>
                      <w:spacing w:val="4"/>
                      <w:lang w:eastAsia="zh-CN"/>
                    </w:rPr>
                    <w:t>合计</w:t>
                  </w:r>
                </w:p>
              </w:tc>
              <w:tc>
                <w:tcPr>
                  <w:tcW w:w="941" w:type="dxa"/>
                  <w:tcBorders>
                    <w:tl2br w:val="nil"/>
                    <w:tr2bl w:val="nil"/>
                  </w:tcBorders>
                  <w:shd w:val="clear" w:color="auto" w:fill="auto"/>
                  <w:vAlign w:val="center"/>
                </w:tcPr>
                <w:p>
                  <w:pPr>
                    <w:jc w:val="center"/>
                    <w:rPr>
                      <w:sz w:val="21"/>
                      <w:szCs w:val="21"/>
                      <w:lang w:bidi="ar"/>
                    </w:rPr>
                  </w:pPr>
                  <w:r>
                    <w:rPr>
                      <w:rFonts w:eastAsia="Times New Roman"/>
                      <w:sz w:val="20"/>
                      <w:szCs w:val="20"/>
                    </w:rPr>
                    <w:t>136.06</w:t>
                  </w:r>
                </w:p>
              </w:tc>
              <w:tc>
                <w:tcPr>
                  <w:tcW w:w="897" w:type="dxa"/>
                  <w:tcBorders>
                    <w:tl2br w:val="nil"/>
                    <w:tr2bl w:val="nil"/>
                  </w:tcBorders>
                  <w:shd w:val="clear" w:color="auto" w:fill="auto"/>
                  <w:vAlign w:val="center"/>
                </w:tcPr>
                <w:p>
                  <w:pPr>
                    <w:jc w:val="center"/>
                    <w:rPr>
                      <w:sz w:val="21"/>
                      <w:szCs w:val="21"/>
                      <w:lang w:bidi="ar"/>
                    </w:rPr>
                  </w:pPr>
                  <w:r>
                    <w:rPr>
                      <w:rFonts w:eastAsia="Times New Roman"/>
                      <w:spacing w:val="4"/>
                      <w:sz w:val="20"/>
                      <w:szCs w:val="20"/>
                    </w:rPr>
                    <w:t>48366.9</w:t>
                  </w:r>
                </w:p>
              </w:tc>
              <w:tc>
                <w:tcPr>
                  <w:tcW w:w="921" w:type="dxa"/>
                  <w:tcBorders>
                    <w:tl2br w:val="nil"/>
                    <w:tr2bl w:val="nil"/>
                  </w:tcBorders>
                  <w:shd w:val="clear" w:color="auto" w:fill="auto"/>
                  <w:vAlign w:val="center"/>
                </w:tcPr>
                <w:p>
                  <w:pPr>
                    <w:jc w:val="center"/>
                    <w:rPr>
                      <w:sz w:val="21"/>
                      <w:szCs w:val="21"/>
                      <w:lang w:bidi="ar"/>
                    </w:rPr>
                  </w:pPr>
                  <w:r>
                    <w:rPr>
                      <w:rFonts w:eastAsia="Times New Roman"/>
                      <w:spacing w:val="3"/>
                      <w:sz w:val="20"/>
                      <w:szCs w:val="20"/>
                    </w:rPr>
                    <w:t>26.406</w:t>
                  </w:r>
                </w:p>
              </w:tc>
              <w:tc>
                <w:tcPr>
                  <w:tcW w:w="1041" w:type="dxa"/>
                  <w:tcBorders>
                    <w:tl2br w:val="nil"/>
                    <w:tr2bl w:val="nil"/>
                  </w:tcBorders>
                  <w:shd w:val="clear" w:color="auto" w:fill="auto"/>
                  <w:vAlign w:val="center"/>
                </w:tcPr>
                <w:p>
                  <w:pPr>
                    <w:jc w:val="center"/>
                    <w:rPr>
                      <w:sz w:val="21"/>
                      <w:szCs w:val="21"/>
                      <w:lang w:bidi="ar"/>
                    </w:rPr>
                  </w:pPr>
                  <w:r>
                    <w:rPr>
                      <w:rFonts w:eastAsia="Times New Roman"/>
                      <w:spacing w:val="2"/>
                      <w:sz w:val="20"/>
                      <w:szCs w:val="20"/>
                    </w:rPr>
                    <w:t>8343.19</w:t>
                  </w:r>
                </w:p>
              </w:tc>
              <w:tc>
                <w:tcPr>
                  <w:tcW w:w="873" w:type="dxa"/>
                  <w:tcBorders>
                    <w:tl2br w:val="nil"/>
                    <w:tr2bl w:val="nil"/>
                  </w:tcBorders>
                  <w:shd w:val="clear" w:color="auto" w:fill="auto"/>
                  <w:vAlign w:val="center"/>
                </w:tcPr>
                <w:p>
                  <w:pPr>
                    <w:jc w:val="center"/>
                    <w:rPr>
                      <w:sz w:val="21"/>
                      <w:szCs w:val="21"/>
                      <w:lang w:bidi="ar"/>
                    </w:rPr>
                  </w:pPr>
                  <w:r>
                    <w:rPr>
                      <w:rFonts w:eastAsia="Times New Roman"/>
                      <w:spacing w:val="1"/>
                      <w:sz w:val="20"/>
                      <w:szCs w:val="20"/>
                    </w:rPr>
                    <w:t>109.654</w:t>
                  </w:r>
                </w:p>
              </w:tc>
              <w:tc>
                <w:tcPr>
                  <w:tcW w:w="1094" w:type="dxa"/>
                  <w:tcBorders>
                    <w:tl2br w:val="nil"/>
                    <w:tr2bl w:val="nil"/>
                  </w:tcBorders>
                  <w:shd w:val="clear" w:color="auto" w:fill="auto"/>
                  <w:vAlign w:val="center"/>
                </w:tcPr>
                <w:p>
                  <w:pPr>
                    <w:jc w:val="center"/>
                    <w:rPr>
                      <w:sz w:val="21"/>
                      <w:szCs w:val="21"/>
                      <w:lang w:bidi="ar"/>
                    </w:rPr>
                  </w:pPr>
                  <w:r>
                    <w:rPr>
                      <w:rFonts w:eastAsia="Times New Roman"/>
                      <w:spacing w:val="4"/>
                      <w:sz w:val="20"/>
                      <w:szCs w:val="20"/>
                    </w:rPr>
                    <w:t>40023.71</w:t>
                  </w:r>
                </w:p>
              </w:tc>
            </w:tr>
          </w:tbl>
          <w:p>
            <w:pPr>
              <w:pStyle w:val="46"/>
              <w:spacing w:before="120" w:beforeLines="50" w:line="360" w:lineRule="auto"/>
              <w:ind w:firstLine="504" w:firstLineChars="200"/>
              <w:rPr>
                <w:rFonts w:ascii="Times New Roman" w:hAnsi="Times New Roman" w:eastAsia="宋体" w:cs="Times New Roman"/>
                <w:spacing w:val="6"/>
                <w:sz w:val="24"/>
                <w:szCs w:val="24"/>
                <w:lang w:eastAsia="zh-CN"/>
              </w:rPr>
            </w:pPr>
            <w:r>
              <w:rPr>
                <w:rFonts w:ascii="Times New Roman" w:hAnsi="Times New Roman" w:eastAsia="宋体" w:cs="Times New Roman"/>
                <w:spacing w:val="6"/>
                <w:sz w:val="24"/>
                <w:szCs w:val="24"/>
                <w:lang w:eastAsia="zh-CN"/>
              </w:rPr>
              <w:t>（4）采暖</w:t>
            </w:r>
          </w:p>
          <w:p>
            <w:pPr>
              <w:pStyle w:val="46"/>
              <w:spacing w:line="360" w:lineRule="auto"/>
              <w:ind w:firstLine="500" w:firstLineChars="200"/>
              <w:rPr>
                <w:rFonts w:ascii="Times New Roman" w:hAnsi="Times New Roman" w:eastAsia="宋体" w:cs="Times New Roman"/>
                <w:spacing w:val="5"/>
                <w:sz w:val="24"/>
                <w:szCs w:val="24"/>
                <w:lang w:eastAsia="zh-CN"/>
              </w:rPr>
            </w:pPr>
            <w:r>
              <w:rPr>
                <w:rFonts w:ascii="Times New Roman" w:hAnsi="Times New Roman" w:eastAsia="宋体" w:cs="Times New Roman"/>
                <w:spacing w:val="5"/>
                <w:sz w:val="24"/>
                <w:szCs w:val="24"/>
                <w:lang w:eastAsia="zh-CN"/>
              </w:rPr>
              <w:t>本项目冬季采用电采暖的方式提供热源。</w:t>
            </w:r>
          </w:p>
          <w:p>
            <w:pPr>
              <w:pStyle w:val="46"/>
              <w:spacing w:line="360" w:lineRule="auto"/>
              <w:ind w:firstLine="500" w:firstLineChars="200"/>
              <w:rPr>
                <w:rFonts w:ascii="Times New Roman" w:hAnsi="Times New Roman" w:eastAsia="宋体" w:cs="Times New Roman"/>
                <w:sz w:val="24"/>
                <w:szCs w:val="24"/>
                <w:lang w:eastAsia="zh-CN"/>
              </w:rPr>
            </w:pPr>
            <w:r>
              <w:rPr>
                <w:rFonts w:ascii="Times New Roman" w:hAnsi="Times New Roman" w:eastAsia="宋体" w:cs="Times New Roman"/>
                <w:spacing w:val="5"/>
                <w:sz w:val="24"/>
                <w:szCs w:val="24"/>
                <w:lang w:eastAsia="zh-CN"/>
              </w:rPr>
              <w:t>（5）交通</w:t>
            </w:r>
          </w:p>
          <w:p>
            <w:pPr>
              <w:pStyle w:val="46"/>
              <w:spacing w:line="360" w:lineRule="auto"/>
              <w:ind w:firstLine="512" w:firstLineChars="200"/>
              <w:rPr>
                <w:rFonts w:ascii="Times New Roman" w:hAnsi="Times New Roman" w:eastAsia="宋体" w:cs="Times New Roman"/>
                <w:sz w:val="24"/>
                <w:szCs w:val="24"/>
                <w:lang w:eastAsia="zh-CN"/>
              </w:rPr>
            </w:pPr>
            <w:r>
              <w:rPr>
                <w:rFonts w:ascii="Times New Roman" w:hAnsi="Times New Roman" w:eastAsia="宋体" w:cs="Times New Roman"/>
                <w:spacing w:val="8"/>
                <w:sz w:val="24"/>
                <w:szCs w:val="24"/>
                <w:lang w:eastAsia="zh-CN"/>
              </w:rPr>
              <w:t>项目区临近开发区道路，交通条件十分优越。</w:t>
            </w:r>
          </w:p>
          <w:p>
            <w:pPr>
              <w:pStyle w:val="46"/>
              <w:spacing w:line="360" w:lineRule="auto"/>
              <w:ind w:firstLine="50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pacing w:val="5"/>
                <w:sz w:val="24"/>
                <w:szCs w:val="24"/>
                <w:lang w:eastAsia="zh-CN"/>
                <w14:textFill>
                  <w14:solidFill>
                    <w14:schemeClr w14:val="tx1"/>
                  </w14:solidFill>
                </w14:textFill>
              </w:rPr>
              <w:t>（6）冷库</w:t>
            </w:r>
          </w:p>
          <w:p>
            <w:pPr>
              <w:pStyle w:val="46"/>
              <w:spacing w:line="360" w:lineRule="auto"/>
              <w:ind w:firstLine="516"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pacing w:val="9"/>
                <w:sz w:val="24"/>
                <w:szCs w:val="24"/>
                <w:lang w:eastAsia="zh-CN"/>
                <w14:textFill>
                  <w14:solidFill>
                    <w14:schemeClr w14:val="tx1"/>
                  </w14:solidFill>
                </w14:textFill>
              </w:rPr>
              <w:t>本项目冷库采用风冷制冷方式，采用</w:t>
            </w:r>
            <w:r>
              <w:rPr>
                <w:rFonts w:ascii="Times New Roman" w:hAnsi="Times New Roman" w:eastAsia="宋体" w:cs="Times New Roman"/>
                <w:color w:val="000000" w:themeColor="text1"/>
                <w:spacing w:val="-41"/>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9"/>
                <w:sz w:val="24"/>
                <w:szCs w:val="24"/>
                <w:lang w:eastAsia="zh-CN"/>
                <w14:textFill>
                  <w14:solidFill>
                    <w14:schemeClr w14:val="tx1"/>
                  </w14:solidFill>
                </w14:textFill>
              </w:rPr>
              <w:t>R507为制冷剂。由于</w:t>
            </w:r>
            <w:r>
              <w:rPr>
                <w:rFonts w:ascii="Times New Roman" w:hAnsi="Times New Roman" w:eastAsia="宋体" w:cs="Times New Roman"/>
                <w:color w:val="000000" w:themeColor="text1"/>
                <w:spacing w:val="-44"/>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8"/>
                <w:sz w:val="24"/>
                <w:szCs w:val="24"/>
                <w:lang w:eastAsia="zh-CN"/>
                <w14:textFill>
                  <w14:solidFill>
                    <w14:schemeClr w14:val="tx1"/>
                  </w14:solidFill>
                </w14:textFill>
              </w:rPr>
              <w:t>R507制冷剂的制冷量及效率</w:t>
            </w:r>
            <w:r>
              <w:rPr>
                <w:rFonts w:ascii="Times New Roman" w:hAnsi="Times New Roman" w:eastAsia="宋体" w:cs="Times New Roman"/>
                <w:color w:val="000000" w:themeColor="text1"/>
                <w:spacing w:val="9"/>
                <w:sz w:val="24"/>
                <w:szCs w:val="24"/>
                <w:lang w:eastAsia="zh-CN"/>
                <w14:textFill>
                  <w14:solidFill>
                    <w14:schemeClr w14:val="tx1"/>
                  </w14:solidFill>
                </w14:textFill>
              </w:rPr>
              <w:t>与</w:t>
            </w:r>
            <w:r>
              <w:rPr>
                <w:rFonts w:ascii="Times New Roman" w:hAnsi="Times New Roman" w:eastAsia="宋体" w:cs="Times New Roman"/>
                <w:color w:val="000000" w:themeColor="text1"/>
                <w:spacing w:val="-37"/>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9"/>
                <w:sz w:val="24"/>
                <w:szCs w:val="24"/>
                <w:lang w:eastAsia="zh-CN"/>
                <w14:textFill>
                  <w14:solidFill>
                    <w14:schemeClr w14:val="tx1"/>
                  </w14:solidFill>
                </w14:textFill>
              </w:rPr>
              <w:t>R502非常接近，并且具有优异的传热性能和低毒性，R507制冷剂又名</w:t>
            </w:r>
            <w:r>
              <w:rPr>
                <w:rFonts w:ascii="Times New Roman" w:hAnsi="Times New Roman" w:eastAsia="宋体" w:cs="Times New Roman"/>
                <w:color w:val="000000" w:themeColor="text1"/>
                <w:sz w:val="24"/>
                <w:szCs w:val="24"/>
                <w:lang w:eastAsia="zh-CN"/>
                <w14:textFill>
                  <w14:solidFill>
                    <w14:schemeClr w14:val="tx1"/>
                  </w14:solidFill>
                </w14:textFill>
              </w:rPr>
              <w:t>HFC</w:t>
            </w:r>
            <w:r>
              <w:rPr>
                <w:rFonts w:ascii="Times New Roman" w:hAnsi="Times New Roman" w:eastAsia="宋体" w:cs="Times New Roman"/>
                <w:color w:val="000000" w:themeColor="text1"/>
                <w:spacing w:val="9"/>
                <w:sz w:val="24"/>
                <w:szCs w:val="24"/>
                <w:lang w:eastAsia="zh-CN"/>
                <w14:textFill>
                  <w14:solidFill>
                    <w14:schemeClr w14:val="tx1"/>
                  </w14:solidFill>
                </w14:textFill>
              </w:rPr>
              <w:t>-507，其分子</w:t>
            </w:r>
            <w:r>
              <w:rPr>
                <w:rFonts w:ascii="Times New Roman" w:hAnsi="Times New Roman" w:eastAsia="宋体" w:cs="Times New Roman"/>
                <w:color w:val="000000" w:themeColor="text1"/>
                <w:spacing w:val="3"/>
                <w:sz w:val="24"/>
                <w:szCs w:val="24"/>
                <w:lang w:eastAsia="zh-CN"/>
                <w14:textFill>
                  <w14:solidFill>
                    <w14:schemeClr w14:val="tx1"/>
                  </w14:solidFill>
                </w14:textFill>
              </w:rPr>
              <w:t>量为99，标准的沸点是-46.8℃</w:t>
            </w:r>
            <w:r>
              <w:rPr>
                <w:rFonts w:ascii="Times New Roman" w:hAnsi="Times New Roman" w:eastAsia="宋体" w:cs="Times New Roman"/>
                <w:color w:val="000000" w:themeColor="text1"/>
                <w:spacing w:val="-73"/>
                <w:sz w:val="24"/>
                <w:szCs w:val="24"/>
                <w:lang w:eastAsia="zh-CN"/>
                <w14:textFill>
                  <w14:solidFill>
                    <w14:schemeClr w14:val="tx1"/>
                  </w14:solidFill>
                </w14:textFill>
              </w:rPr>
              <w:t>，</w:t>
            </w:r>
            <w:r>
              <w:rPr>
                <w:rFonts w:ascii="Times New Roman" w:hAnsi="Times New Roman" w:eastAsia="宋体" w:cs="Times New Roman"/>
                <w:color w:val="000000" w:themeColor="text1"/>
                <w:spacing w:val="3"/>
                <w:sz w:val="24"/>
                <w:szCs w:val="24"/>
                <w:lang w:eastAsia="zh-CN"/>
                <w14:textFill>
                  <w14:solidFill>
                    <w14:schemeClr w14:val="tx1"/>
                  </w14:solidFill>
                </w14:textFill>
              </w:rPr>
              <w:t>临界温度问</w:t>
            </w:r>
            <w:r>
              <w:rPr>
                <w:rFonts w:ascii="Times New Roman" w:hAnsi="Times New Roman" w:eastAsia="宋体" w:cs="Times New Roman"/>
                <w:color w:val="000000" w:themeColor="text1"/>
                <w:spacing w:val="-40"/>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3"/>
                <w:sz w:val="24"/>
                <w:szCs w:val="24"/>
                <w:lang w:eastAsia="zh-CN"/>
                <w14:textFill>
                  <w14:solidFill>
                    <w14:schemeClr w14:val="tx1"/>
                  </w14:solidFill>
                </w14:textFill>
              </w:rPr>
              <w:t>71℃；R507</w:t>
            </w:r>
            <w:r>
              <w:rPr>
                <w:rFonts w:ascii="Times New Roman" w:hAnsi="Times New Roman" w:eastAsia="宋体" w:cs="Times New Roman"/>
                <w:color w:val="000000" w:themeColor="text1"/>
                <w:spacing w:val="2"/>
                <w:sz w:val="24"/>
                <w:szCs w:val="24"/>
                <w:lang w:eastAsia="zh-CN"/>
                <w14:textFill>
                  <w14:solidFill>
                    <w14:schemeClr w14:val="tx1"/>
                  </w14:solidFill>
                </w14:textFill>
              </w:rPr>
              <w:t>制冷剂的临界压力是</w:t>
            </w:r>
            <w:r>
              <w:rPr>
                <w:rFonts w:ascii="Times New Roman" w:hAnsi="Times New Roman" w:eastAsia="宋体" w:cs="Times New Roman"/>
                <w:color w:val="000000" w:themeColor="text1"/>
                <w:spacing w:val="-38"/>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2"/>
                <w:sz w:val="24"/>
                <w:szCs w:val="24"/>
                <w:lang w:eastAsia="zh-CN"/>
                <w14:textFill>
                  <w14:solidFill>
                    <w14:schemeClr w14:val="tx1"/>
                  </w14:solidFill>
                </w14:textFill>
              </w:rPr>
              <w:t>3.7</w:t>
            </w:r>
            <w:r>
              <w:rPr>
                <w:rFonts w:ascii="Times New Roman" w:hAnsi="Times New Roman" w:eastAsia="宋体" w:cs="Times New Roman"/>
                <w:color w:val="000000" w:themeColor="text1"/>
                <w:sz w:val="24"/>
                <w:szCs w:val="24"/>
                <w:lang w:eastAsia="zh-CN"/>
                <w14:textFill>
                  <w14:solidFill>
                    <w14:schemeClr w14:val="tx1"/>
                  </w14:solidFill>
                </w14:textFill>
              </w:rPr>
              <w:t>MPa</w:t>
            </w:r>
            <w:r>
              <w:rPr>
                <w:rFonts w:ascii="Times New Roman" w:hAnsi="Times New Roman" w:eastAsia="宋体" w:cs="Times New Roman"/>
                <w:color w:val="000000" w:themeColor="text1"/>
                <w:spacing w:val="2"/>
                <w:sz w:val="24"/>
                <w:szCs w:val="24"/>
                <w:lang w:eastAsia="zh-CN"/>
                <w14:textFill>
                  <w14:solidFill>
                    <w14:schemeClr w14:val="tx1"/>
                  </w14:solidFill>
                </w14:textFill>
              </w:rPr>
              <w:t>（绝压</w:t>
            </w:r>
            <w:r>
              <w:rPr>
                <w:rFonts w:ascii="Times New Roman" w:hAnsi="Times New Roman" w:eastAsia="宋体" w:cs="Times New Roman"/>
                <w:color w:val="000000" w:themeColor="text1"/>
                <w:spacing w:val="-48"/>
                <w:w w:val="90"/>
                <w:sz w:val="24"/>
                <w:szCs w:val="24"/>
                <w:lang w:eastAsia="zh-CN"/>
                <w14:textFill>
                  <w14:solidFill>
                    <w14:schemeClr w14:val="tx1"/>
                  </w14:solidFill>
                </w14:textFill>
              </w:rPr>
              <w:t>），</w:t>
            </w:r>
            <w:r>
              <w:rPr>
                <w:rFonts w:ascii="Times New Roman" w:hAnsi="Times New Roman" w:eastAsia="宋体" w:cs="Times New Roman"/>
                <w:color w:val="000000" w:themeColor="text1"/>
                <w:spacing w:val="6"/>
                <w:sz w:val="24"/>
                <w:szCs w:val="24"/>
                <w:lang w:eastAsia="zh-CN"/>
                <w14:textFill>
                  <w14:solidFill>
                    <w14:schemeClr w14:val="tx1"/>
                  </w14:solidFill>
                </w14:textFill>
              </w:rPr>
              <w:t>临界密度为0.488g/</w:t>
            </w:r>
            <w:r>
              <w:rPr>
                <w:rFonts w:ascii="Times New Roman" w:hAnsi="Times New Roman" w:eastAsia="宋体" w:cs="Times New Roman"/>
                <w:color w:val="000000" w:themeColor="text1"/>
                <w:sz w:val="24"/>
                <w:szCs w:val="24"/>
                <w:lang w:eastAsia="zh-CN"/>
                <w14:textFill>
                  <w14:solidFill>
                    <w14:schemeClr w14:val="tx1"/>
                  </w14:solidFill>
                </w14:textFill>
              </w:rPr>
              <w:t>cm</w:t>
            </w:r>
            <w:r>
              <w:rPr>
                <w:rFonts w:ascii="Times New Roman" w:hAnsi="Times New Roman" w:eastAsia="宋体" w:cs="Times New Roman"/>
                <w:color w:val="000000" w:themeColor="text1"/>
                <w:sz w:val="24"/>
                <w:szCs w:val="24"/>
                <w:vertAlign w:val="superscript"/>
                <w:lang w:eastAsia="zh-CN"/>
                <w14:textFill>
                  <w14:solidFill>
                    <w14:schemeClr w14:val="tx1"/>
                  </w14:solidFill>
                </w14:textFill>
              </w:rPr>
              <w:t>3</w:t>
            </w:r>
            <w:r>
              <w:rPr>
                <w:rFonts w:ascii="Times New Roman" w:hAnsi="Times New Roman" w:eastAsia="宋体" w:cs="Times New Roman"/>
                <w:color w:val="000000" w:themeColor="text1"/>
                <w:spacing w:val="6"/>
                <w:sz w:val="24"/>
                <w:szCs w:val="24"/>
                <w:lang w:eastAsia="zh-CN"/>
                <w14:textFill>
                  <w14:solidFill>
                    <w14:schemeClr w14:val="tx1"/>
                  </w14:solidFill>
                </w14:textFill>
              </w:rPr>
              <w:t>；它的</w:t>
            </w:r>
            <w:r>
              <w:rPr>
                <w:rFonts w:ascii="Times New Roman" w:hAnsi="Times New Roman" w:eastAsia="宋体" w:cs="Times New Roman"/>
                <w:color w:val="000000" w:themeColor="text1"/>
                <w:spacing w:val="-40"/>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z w:val="24"/>
                <w:szCs w:val="24"/>
                <w:lang w:eastAsia="zh-CN"/>
                <w14:textFill>
                  <w14:solidFill>
                    <w14:schemeClr w14:val="tx1"/>
                  </w14:solidFill>
                </w14:textFill>
              </w:rPr>
              <w:t>CAS</w:t>
            </w:r>
            <w:r>
              <w:rPr>
                <w:rFonts w:ascii="Times New Roman" w:hAnsi="Times New Roman" w:eastAsia="宋体" w:cs="Times New Roman"/>
                <w:color w:val="000000" w:themeColor="text1"/>
                <w:spacing w:val="6"/>
                <w:sz w:val="24"/>
                <w:szCs w:val="24"/>
                <w:lang w:eastAsia="zh-CN"/>
                <w14:textFill>
                  <w14:solidFill>
                    <w14:schemeClr w14:val="tx1"/>
                  </w14:solidFill>
                </w14:textFill>
              </w:rPr>
              <w:t>编号为354-33-6</w:t>
            </w:r>
            <w:r>
              <w:rPr>
                <w:rFonts w:ascii="Times New Roman" w:hAnsi="Times New Roman" w:eastAsia="宋体" w:cs="Times New Roman"/>
                <w:color w:val="000000" w:themeColor="text1"/>
                <w:spacing w:val="5"/>
                <w:sz w:val="24"/>
                <w:szCs w:val="24"/>
                <w:lang w:eastAsia="zh-CN"/>
                <w14:textFill>
                  <w14:solidFill>
                    <w14:schemeClr w14:val="tx1"/>
                  </w14:solidFill>
                </w14:textFill>
              </w:rPr>
              <w:t>/420-46-2，对于臭氧的破坏潜能在</w:t>
            </w:r>
            <w:r>
              <w:rPr>
                <w:rFonts w:ascii="Times New Roman" w:hAnsi="Times New Roman" w:eastAsia="宋体" w:cs="Times New Roman"/>
                <w:color w:val="000000" w:themeColor="text1"/>
                <w:sz w:val="24"/>
                <w:szCs w:val="24"/>
                <w:lang w:eastAsia="zh-CN"/>
                <w14:textFill>
                  <w14:solidFill>
                    <w14:schemeClr w14:val="tx1"/>
                  </w14:solidFill>
                </w14:textFill>
              </w:rPr>
              <w:t>ODP</w:t>
            </w:r>
            <w:r>
              <w:rPr>
                <w:rFonts w:ascii="Times New Roman" w:hAnsi="Times New Roman" w:eastAsia="宋体" w:cs="Times New Roman"/>
                <w:color w:val="000000" w:themeColor="text1"/>
                <w:spacing w:val="5"/>
                <w:sz w:val="24"/>
                <w:szCs w:val="24"/>
                <w:lang w:eastAsia="zh-CN"/>
                <w14:textFill>
                  <w14:solidFill>
                    <w14:schemeClr w14:val="tx1"/>
                  </w14:solidFill>
                </w14:textFill>
              </w:rPr>
              <w:t>为</w:t>
            </w:r>
            <w:r>
              <w:rPr>
                <w:rFonts w:ascii="Times New Roman" w:hAnsi="Times New Roman" w:eastAsia="宋体" w:cs="Times New Roman"/>
                <w:color w:val="000000" w:themeColor="text1"/>
                <w:spacing w:val="8"/>
                <w:sz w:val="24"/>
                <w:szCs w:val="24"/>
                <w:lang w:eastAsia="zh-CN"/>
                <w14:textFill>
                  <w14:solidFill>
                    <w14:schemeClr w14:val="tx1"/>
                  </w14:solidFill>
                </w14:textFill>
              </w:rPr>
              <w:t>0，全球变暖系数</w:t>
            </w:r>
            <w:r>
              <w:rPr>
                <w:rFonts w:ascii="Times New Roman" w:hAnsi="Times New Roman" w:eastAsia="宋体" w:cs="Times New Roman"/>
                <w:color w:val="000000" w:themeColor="text1"/>
                <w:spacing w:val="-40"/>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z w:val="24"/>
                <w:szCs w:val="24"/>
                <w:lang w:eastAsia="zh-CN"/>
                <w14:textFill>
                  <w14:solidFill>
                    <w14:schemeClr w14:val="tx1"/>
                  </w14:solidFill>
                </w14:textFill>
              </w:rPr>
              <w:t>GWP</w:t>
            </w:r>
            <w:r>
              <w:rPr>
                <w:rFonts w:ascii="Times New Roman" w:hAnsi="Times New Roman" w:eastAsia="宋体" w:cs="Times New Roman"/>
                <w:color w:val="000000" w:themeColor="text1"/>
                <w:spacing w:val="8"/>
                <w:sz w:val="24"/>
                <w:szCs w:val="24"/>
                <w:lang w:eastAsia="zh-CN"/>
                <w14:textFill>
                  <w14:solidFill>
                    <w14:schemeClr w14:val="tx1"/>
                  </w14:solidFill>
                </w14:textFill>
              </w:rPr>
              <w:t>为3985；不在《蒙特利尔议定书》中，没有规定其使用期限且该类制</w:t>
            </w:r>
            <w:r>
              <w:rPr>
                <w:rFonts w:ascii="Times New Roman" w:hAnsi="Times New Roman" w:eastAsia="宋体" w:cs="Times New Roman"/>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7"/>
                <w:sz w:val="24"/>
                <w:szCs w:val="24"/>
                <w:lang w:eastAsia="zh-CN"/>
                <w14:textFill>
                  <w14:solidFill>
                    <w14:schemeClr w14:val="tx1"/>
                  </w14:solidFill>
                </w14:textFill>
              </w:rPr>
              <w:t>冷剂不属于环境保护部办公厅文件《关于严格控制新建使用含</w:t>
            </w:r>
            <w:r>
              <w:rPr>
                <w:rFonts w:ascii="Times New Roman" w:hAnsi="Times New Roman" w:eastAsia="宋体" w:cs="Times New Roman"/>
                <w:color w:val="000000" w:themeColor="text1"/>
                <w:spacing w:val="6"/>
                <w:sz w:val="24"/>
                <w:szCs w:val="24"/>
                <w:lang w:eastAsia="zh-CN"/>
                <w14:textFill>
                  <w14:solidFill>
                    <w14:schemeClr w14:val="tx1"/>
                  </w14:solidFill>
                </w14:textFill>
              </w:rPr>
              <w:t>氢氯氟烃生产设施的通知》（环</w:t>
            </w:r>
            <w:r>
              <w:rPr>
                <w:rFonts w:ascii="Times New Roman" w:hAnsi="Times New Roman" w:eastAsia="宋体" w:cs="Times New Roman"/>
                <w:color w:val="000000" w:themeColor="text1"/>
                <w:spacing w:val="8"/>
                <w:sz w:val="24"/>
                <w:szCs w:val="24"/>
                <w:lang w:eastAsia="zh-CN"/>
                <w14:textFill>
                  <w14:solidFill>
                    <w14:schemeClr w14:val="tx1"/>
                  </w14:solidFill>
                </w14:textFill>
              </w:rPr>
              <w:t>办[2009]121号）中禁止新建的使用含氢氯氟烃的生产设施。本项目制冷剂为新型的环保制冷</w:t>
            </w:r>
            <w:r>
              <w:rPr>
                <w:rFonts w:ascii="Times New Roman" w:hAnsi="Times New Roman" w:eastAsia="宋体" w:cs="Times New Roman"/>
                <w:color w:val="000000" w:themeColor="text1"/>
                <w:sz w:val="24"/>
                <w:szCs w:val="24"/>
                <w:lang w:eastAsia="zh-CN"/>
                <w14:textFill>
                  <w14:solidFill>
                    <w14:schemeClr w14:val="tx1"/>
                  </w14:solidFill>
                </w14:textFill>
              </w:rPr>
              <w:t>剂。</w:t>
            </w:r>
          </w:p>
          <w:p>
            <w:pPr>
              <w:pStyle w:val="46"/>
              <w:spacing w:line="360" w:lineRule="auto"/>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b/>
                <w:bCs/>
                <w:color w:val="000000" w:themeColor="text1"/>
                <w:spacing w:val="8"/>
                <w:sz w:val="24"/>
                <w:szCs w:val="24"/>
                <w:lang w:eastAsia="zh-CN"/>
                <w14:textFill>
                  <w14:solidFill>
                    <w14:schemeClr w14:val="tx1"/>
                  </w14:solidFill>
                </w14:textFill>
              </w:rPr>
              <w:t>2.2.4</w:t>
            </w:r>
            <w:r>
              <w:rPr>
                <w:rFonts w:ascii="Times New Roman" w:hAnsi="Times New Roman" w:eastAsia="宋体" w:cs="Times New Roman"/>
                <w:color w:val="000000" w:themeColor="text1"/>
                <w:spacing w:val="8"/>
                <w:sz w:val="24"/>
                <w:szCs w:val="24"/>
                <w:lang w:eastAsia="zh-CN"/>
                <w14:textOutline w14:w="3797" w14:cap="sq" w14:cmpd="sng" w14:algn="ctr">
                  <w14:solidFill>
                    <w14:srgbClr w14:val="000000"/>
                  </w14:solidFill>
                  <w14:prstDash w14:val="solid"/>
                  <w14:bevel/>
                </w14:textOutline>
                <w14:textFill>
                  <w14:solidFill>
                    <w14:schemeClr w14:val="tx1"/>
                  </w14:solidFill>
                </w14:textFill>
              </w:rPr>
              <w:t>劳动定员及工作制度</w:t>
            </w:r>
          </w:p>
          <w:p>
            <w:pPr>
              <w:pStyle w:val="46"/>
              <w:spacing w:line="360" w:lineRule="auto"/>
              <w:ind w:firstLine="512"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pacing w:val="8"/>
                <w:sz w:val="24"/>
                <w:szCs w:val="24"/>
                <w:lang w:eastAsia="zh-CN"/>
                <w14:textFill>
                  <w14:solidFill>
                    <w14:schemeClr w14:val="tx1"/>
                  </w14:solidFill>
                </w14:textFill>
              </w:rPr>
              <w:t>劳动定员：本项目总定员</w:t>
            </w:r>
            <w:r>
              <w:rPr>
                <w:rFonts w:ascii="Times New Roman" w:hAnsi="Times New Roman" w:eastAsia="宋体" w:cs="Times New Roman"/>
                <w:color w:val="000000" w:themeColor="text1"/>
                <w:spacing w:val="-42"/>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8"/>
                <w:sz w:val="24"/>
                <w:szCs w:val="24"/>
                <w:lang w:eastAsia="zh-CN"/>
                <w14:textFill>
                  <w14:solidFill>
                    <w14:schemeClr w14:val="tx1"/>
                  </w14:solidFill>
                </w14:textFill>
              </w:rPr>
              <w:t>20 人，均不在厂区食宿。</w:t>
            </w:r>
          </w:p>
          <w:p>
            <w:pPr>
              <w:pStyle w:val="46"/>
              <w:spacing w:line="360" w:lineRule="auto"/>
              <w:ind w:firstLine="500" w:firstLineChars="200"/>
              <w:rPr>
                <w:rFonts w:ascii="Times New Roman" w:hAnsi="Times New Roman" w:eastAsia="宋体" w:cs="Times New Roman"/>
                <w:color w:val="000000" w:themeColor="text1"/>
                <w:sz w:val="24"/>
                <w:szCs w:val="24"/>
                <w:lang w:eastAsia="zh-CN"/>
                <w14:textFill>
                  <w14:solidFill>
                    <w14:schemeClr w14:val="tx1"/>
                  </w14:solidFill>
                </w14:textFill>
              </w:rPr>
            </w:pPr>
            <w:r>
              <w:rPr>
                <w:rFonts w:ascii="Times New Roman" w:hAnsi="Times New Roman" w:eastAsia="宋体" w:cs="Times New Roman"/>
                <w:color w:val="000000" w:themeColor="text1"/>
                <w:spacing w:val="5"/>
                <w:sz w:val="24"/>
                <w:szCs w:val="24"/>
                <w:lang w:eastAsia="zh-CN"/>
                <w14:textFill>
                  <w14:solidFill>
                    <w14:schemeClr w14:val="tx1"/>
                  </w14:solidFill>
                </w14:textFill>
              </w:rPr>
              <w:t>工作制度：本项目年工作</w:t>
            </w:r>
            <w:r>
              <w:rPr>
                <w:rFonts w:ascii="Times New Roman" w:hAnsi="Times New Roman" w:eastAsia="宋体" w:cs="Times New Roman"/>
                <w:color w:val="000000" w:themeColor="text1"/>
                <w:spacing w:val="-21"/>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5"/>
                <w:sz w:val="24"/>
                <w:szCs w:val="24"/>
                <w:lang w:eastAsia="zh-CN"/>
                <w14:textFill>
                  <w14:solidFill>
                    <w14:schemeClr w14:val="tx1"/>
                  </w14:solidFill>
                </w14:textFill>
              </w:rPr>
              <w:t>365 天，实行</w:t>
            </w:r>
            <w:r>
              <w:rPr>
                <w:rFonts w:ascii="Times New Roman" w:hAnsi="Times New Roman" w:eastAsia="宋体" w:cs="Times New Roman"/>
                <w:color w:val="000000" w:themeColor="text1"/>
                <w:spacing w:val="-20"/>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5"/>
                <w:sz w:val="24"/>
                <w:szCs w:val="24"/>
                <w:lang w:eastAsia="zh-CN"/>
                <w14:textFill>
                  <w14:solidFill>
                    <w14:schemeClr w14:val="tx1"/>
                  </w14:solidFill>
                </w14:textFill>
              </w:rPr>
              <w:t>1 班</w:t>
            </w:r>
            <w:r>
              <w:rPr>
                <w:rFonts w:ascii="Times New Roman" w:hAnsi="Times New Roman" w:eastAsia="宋体" w:cs="Times New Roman"/>
                <w:color w:val="000000" w:themeColor="text1"/>
                <w:spacing w:val="-35"/>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5"/>
                <w:sz w:val="24"/>
                <w:szCs w:val="24"/>
                <w:lang w:eastAsia="zh-CN"/>
                <w14:textFill>
                  <w14:solidFill>
                    <w14:schemeClr w14:val="tx1"/>
                  </w14:solidFill>
                </w14:textFill>
              </w:rPr>
              <w:t>8</w:t>
            </w:r>
            <w:r>
              <w:rPr>
                <w:rFonts w:ascii="Times New Roman" w:hAnsi="Times New Roman" w:eastAsia="宋体" w:cs="Times New Roman"/>
                <w:color w:val="000000" w:themeColor="text1"/>
                <w:spacing w:val="18"/>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5"/>
                <w:sz w:val="24"/>
                <w:szCs w:val="24"/>
                <w:lang w:eastAsia="zh-CN"/>
                <w14:textFill>
                  <w14:solidFill>
                    <w14:schemeClr w14:val="tx1"/>
                  </w14:solidFill>
                </w14:textFill>
              </w:rPr>
              <w:t>小时工作制。</w:t>
            </w:r>
          </w:p>
          <w:p>
            <w:pPr>
              <w:spacing w:line="360" w:lineRule="auto"/>
              <w:ind w:firstLine="480" w:firstLineChars="200"/>
              <w:rPr>
                <w:kern w:val="28"/>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0" w:type="dxa"/>
            <w:vAlign w:val="center"/>
          </w:tcPr>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总平面及现场布置</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总平面及现场布置</w:t>
            </w:r>
          </w:p>
          <w:p>
            <w:pPr>
              <w:adjustRightInd w:val="0"/>
              <w:snapToGrid w:val="0"/>
              <w:jc w:val="center"/>
              <w:rPr>
                <w:kern w:val="0"/>
                <w:highlight w:val="red"/>
              </w:rPr>
            </w:pPr>
          </w:p>
        </w:tc>
        <w:tc>
          <w:tcPr>
            <w:tcW w:w="7774" w:type="dxa"/>
            <w:vAlign w:val="center"/>
          </w:tcPr>
          <w:p>
            <w:pPr>
              <w:pStyle w:val="11"/>
              <w:spacing w:before="120" w:beforeLines="50" w:line="360" w:lineRule="auto"/>
              <w:rPr>
                <w:rFonts w:hint="default" w:ascii="Times New Roman" w:hAnsi="Times New Roman"/>
                <w:b/>
                <w:bCs/>
                <w:sz w:val="24"/>
              </w:rPr>
            </w:pPr>
            <w:r>
              <w:rPr>
                <w:rFonts w:hint="default" w:ascii="Times New Roman" w:hAnsi="Times New Roman"/>
                <w:b/>
                <w:bCs/>
                <w:sz w:val="24"/>
              </w:rPr>
              <w:t>1 燃气管道建设项目</w:t>
            </w:r>
            <w:r>
              <w:rPr>
                <w:rFonts w:hint="default" w:ascii="Times New Roman" w:hAnsi="Times New Roman"/>
                <w:spacing w:val="7"/>
                <w:sz w:val="24"/>
                <w14:textOutline w14:w="3797" w14:cap="sq" w14:cmpd="sng" w14:algn="ctr">
                  <w14:solidFill>
                    <w14:srgbClr w14:val="000000"/>
                  </w14:solidFill>
                  <w14:prstDash w14:val="solid"/>
                  <w14:bevel/>
                </w14:textOutline>
              </w:rPr>
              <w:t>总平面布置及现场布置</w:t>
            </w:r>
          </w:p>
          <w:p>
            <w:pPr>
              <w:pStyle w:val="11"/>
              <w:spacing w:line="360" w:lineRule="auto"/>
              <w:ind w:firstLine="482" w:firstLineChars="200"/>
              <w:rPr>
                <w:rFonts w:hint="default" w:ascii="Times New Roman" w:hAnsi="Times New Roman"/>
                <w:b/>
                <w:bCs/>
                <w:sz w:val="24"/>
              </w:rPr>
            </w:pPr>
            <w:r>
              <w:rPr>
                <w:rFonts w:hint="default" w:ascii="Times New Roman" w:hAnsi="Times New Roman"/>
                <w:b/>
                <w:bCs/>
                <w:sz w:val="24"/>
              </w:rPr>
              <w:t>总平面布置</w:t>
            </w:r>
          </w:p>
          <w:p>
            <w:pPr>
              <w:widowControl/>
              <w:spacing w:line="360" w:lineRule="auto"/>
              <w:ind w:firstLine="480" w:firstLineChars="200"/>
              <w:jc w:val="left"/>
            </w:pPr>
            <w:r>
              <w:t>本项目管道线路起自于环园路已建输气管线，沿着环园路北侧自西向东敷设至桩号K1+860处后由北向南敷设；敷设至夏木帕夏村与已建输气管线交接，该段管线途经区域现状为戈壁和平原旱地。管线走向图见附图</w:t>
            </w:r>
            <w:r>
              <w:rPr>
                <w:rFonts w:hint="eastAsia"/>
                <w:lang w:val="en-US" w:eastAsia="zh-CN"/>
              </w:rPr>
              <w:t>6</w:t>
            </w:r>
            <w:r>
              <w:t>-2。</w:t>
            </w:r>
          </w:p>
          <w:p>
            <w:pPr>
              <w:spacing w:line="360" w:lineRule="auto"/>
              <w:ind w:firstLine="482" w:firstLineChars="200"/>
              <w:rPr>
                <w:b/>
                <w:bCs/>
                <w:kern w:val="0"/>
              </w:rPr>
            </w:pPr>
            <w:r>
              <w:rPr>
                <w:b/>
                <w:bCs/>
                <w:kern w:val="0"/>
                <w:lang w:bidi="ar"/>
              </w:rPr>
              <w:t>现场布置</w:t>
            </w:r>
          </w:p>
          <w:p>
            <w:pPr>
              <w:spacing w:line="360" w:lineRule="auto"/>
              <w:ind w:firstLine="480" w:firstLineChars="200"/>
              <w:rPr>
                <w:kern w:val="0"/>
              </w:rPr>
            </w:pPr>
            <w:r>
              <w:rPr>
                <w:kern w:val="0"/>
                <w:lang w:bidi="ar"/>
              </w:rPr>
              <w:t>本工程</w:t>
            </w:r>
            <w:r>
              <w:rPr>
                <w:lang w:bidi="ar"/>
              </w:rPr>
              <w:t>在KA1+890拐点处（管线中段）设一处临时施工生产区</w:t>
            </w:r>
            <w:r>
              <w:rPr>
                <w:kern w:val="0"/>
                <w:lang w:bidi="ar"/>
              </w:rPr>
              <w:t>，布置在管道建设工程扰动范围内，平均扰动长×宽为40×10m；主要用于施工机械、施工材料堆放以及施工器械的停放。详见附图</w:t>
            </w:r>
            <w:r>
              <w:rPr>
                <w:rFonts w:hint="eastAsia"/>
                <w:kern w:val="0"/>
                <w:lang w:val="en-US" w:eastAsia="zh-CN" w:bidi="ar"/>
              </w:rPr>
              <w:t>6</w:t>
            </w:r>
            <w:r>
              <w:rPr>
                <w:kern w:val="0"/>
                <w:lang w:bidi="ar"/>
              </w:rPr>
              <w:t>-2。</w:t>
            </w:r>
          </w:p>
          <w:p>
            <w:pPr>
              <w:spacing w:line="360" w:lineRule="auto"/>
              <w:ind w:firstLine="480" w:firstLineChars="200"/>
              <w:rPr>
                <w:kern w:val="0"/>
              </w:rPr>
            </w:pPr>
            <w:r>
              <w:rPr>
                <w:kern w:val="0"/>
                <w:lang w:bidi="ar"/>
              </w:rPr>
              <w:t>（1）施工仓库</w:t>
            </w:r>
          </w:p>
          <w:p>
            <w:pPr>
              <w:spacing w:line="360" w:lineRule="auto"/>
              <w:ind w:firstLine="480" w:firstLineChars="200"/>
              <w:rPr>
                <w:kern w:val="0"/>
              </w:rPr>
            </w:pPr>
            <w:r>
              <w:rPr>
                <w:kern w:val="0"/>
                <w:lang w:bidi="ar"/>
              </w:rPr>
              <w:t>为存放设备和机具等工程物资，搭建施工仓库，建筑面积50m</w:t>
            </w:r>
            <w:r>
              <w:rPr>
                <w:kern w:val="0"/>
                <w:vertAlign w:val="superscript"/>
                <w:lang w:bidi="ar"/>
              </w:rPr>
              <w:t>2</w:t>
            </w:r>
            <w:r>
              <w:rPr>
                <w:kern w:val="0"/>
                <w:lang w:bidi="ar"/>
              </w:rPr>
              <w:t>，采用简易彩钢板结构。</w:t>
            </w:r>
          </w:p>
          <w:p>
            <w:pPr>
              <w:spacing w:line="360" w:lineRule="auto"/>
              <w:ind w:firstLine="480" w:firstLineChars="200"/>
              <w:rPr>
                <w:kern w:val="0"/>
              </w:rPr>
            </w:pPr>
            <w:r>
              <w:rPr>
                <w:kern w:val="0"/>
                <w:lang w:bidi="ar"/>
              </w:rPr>
              <w:t>（2）办公生活用房</w:t>
            </w:r>
          </w:p>
          <w:p>
            <w:pPr>
              <w:spacing w:line="360" w:lineRule="auto"/>
              <w:ind w:firstLine="480" w:firstLineChars="200"/>
              <w:rPr>
                <w:kern w:val="0"/>
              </w:rPr>
            </w:pPr>
            <w:r>
              <w:rPr>
                <w:kern w:val="0"/>
                <w:lang w:bidi="ar"/>
              </w:rPr>
              <w:t>办公生活用房租用附近村庄闲置房屋，不临时搭建。</w:t>
            </w:r>
          </w:p>
          <w:p>
            <w:pPr>
              <w:spacing w:line="360" w:lineRule="auto"/>
              <w:ind w:firstLine="480" w:firstLineChars="200"/>
              <w:rPr>
                <w:kern w:val="0"/>
              </w:rPr>
            </w:pPr>
            <w:r>
              <w:rPr>
                <w:kern w:val="0"/>
                <w:lang w:bidi="ar"/>
              </w:rPr>
              <w:t>（3）施工便道</w:t>
            </w:r>
          </w:p>
          <w:p>
            <w:pPr>
              <w:spacing w:line="360" w:lineRule="auto"/>
              <w:ind w:firstLine="480" w:firstLineChars="200"/>
              <w:rPr>
                <w:kern w:val="0"/>
              </w:rPr>
            </w:pPr>
            <w:r>
              <w:rPr>
                <w:kern w:val="0"/>
                <w:lang w:bidi="ar"/>
              </w:rPr>
              <w:t>为满足工程施工期间物资运输、施工机械、工程建成后运行管理、应急防洪交通需要，利用现有</w:t>
            </w:r>
            <w:r>
              <w:rPr>
                <w:kern w:val="28"/>
                <w:lang w:bidi="ar"/>
              </w:rPr>
              <w:t>道路与管线临近的道路，本工程不新建临时施工便道</w:t>
            </w:r>
            <w:r>
              <w:rPr>
                <w:kern w:val="0"/>
                <w:lang w:bidi="ar"/>
              </w:rPr>
              <w:t>。</w:t>
            </w:r>
          </w:p>
          <w:p>
            <w:pPr>
              <w:spacing w:line="360" w:lineRule="auto"/>
              <w:ind w:firstLine="480" w:firstLineChars="200"/>
              <w:rPr>
                <w:kern w:val="0"/>
              </w:rPr>
            </w:pPr>
            <w:r>
              <w:rPr>
                <w:kern w:val="0"/>
                <w:lang w:bidi="ar"/>
              </w:rPr>
              <w:t>（4）现场布置合理性分析</w:t>
            </w:r>
          </w:p>
          <w:p>
            <w:pPr>
              <w:spacing w:line="360" w:lineRule="auto"/>
              <w:ind w:firstLine="480" w:firstLineChars="200"/>
              <w:rPr>
                <w:kern w:val="0"/>
              </w:rPr>
            </w:pPr>
            <w:r>
              <w:rPr>
                <w:kern w:val="0"/>
                <w:lang w:bidi="ar"/>
              </w:rPr>
              <w:t>本工程设置的临时施工生产区主要用于施工机械、施工材料堆放以及施工器械的停放。生活用房租用项目区附近居民区民房。本工程木材以及混凝土等材料均外购，不设取土场，</w:t>
            </w:r>
            <w:r>
              <w:rPr>
                <w:lang w:bidi="ar"/>
              </w:rPr>
              <w:t>弃土就近</w:t>
            </w:r>
            <w:r>
              <w:t>用于管线及道路两侧洼地填充或周围绿化带建设等生态恢复</w:t>
            </w:r>
            <w:r>
              <w:rPr>
                <w:kern w:val="0"/>
                <w:lang w:bidi="ar"/>
              </w:rPr>
              <w:t>，不设弃土场，施工区与园区道路相连，有利于施工材料的运输</w:t>
            </w:r>
            <w:r>
              <w:rPr>
                <w:kern w:val="28"/>
                <w:lang w:bidi="ar"/>
              </w:rPr>
              <w:t>，不新建临时施工便道</w:t>
            </w:r>
            <w:r>
              <w:rPr>
                <w:kern w:val="0"/>
                <w:lang w:bidi="ar"/>
              </w:rPr>
              <w:t>，现有道路可以满足日常运行管理需求。</w:t>
            </w:r>
          </w:p>
          <w:p>
            <w:pPr>
              <w:spacing w:line="360" w:lineRule="auto"/>
              <w:ind w:firstLine="480" w:firstLineChars="200"/>
              <w:rPr>
                <w:kern w:val="0"/>
              </w:rPr>
            </w:pPr>
            <w:r>
              <w:rPr>
                <w:kern w:val="0"/>
                <w:lang w:bidi="ar"/>
              </w:rPr>
              <w:t>本工程施工场地内部各区域由道路连接，临时施工生产区内布置集中紧凑，与现有地形相结合，节省用地，并且设置在管线中段，便于物资运输，物流顺畅。</w:t>
            </w:r>
          </w:p>
          <w:p>
            <w:pPr>
              <w:spacing w:line="360" w:lineRule="auto"/>
              <w:ind w:firstLine="480" w:firstLineChars="200"/>
              <w:rPr>
                <w:kern w:val="0"/>
                <w:lang w:bidi="ar"/>
              </w:rPr>
            </w:pPr>
            <w:r>
              <w:rPr>
                <w:kern w:val="0"/>
                <w:lang w:bidi="ar"/>
              </w:rPr>
              <w:t>综上所述，工程区整体布局是较为合理的。</w:t>
            </w:r>
          </w:p>
          <w:p>
            <w:pPr>
              <w:pStyle w:val="46"/>
              <w:spacing w:line="360" w:lineRule="auto"/>
              <w:rPr>
                <w:rFonts w:ascii="Times New Roman" w:hAnsi="Times New Roman" w:eastAsia="宋体" w:cs="Times New Roman"/>
                <w:sz w:val="24"/>
                <w:szCs w:val="24"/>
                <w:lang w:eastAsia="zh-CN"/>
              </w:rPr>
            </w:pPr>
            <w:r>
              <w:rPr>
                <w:rFonts w:ascii="Times New Roman" w:hAnsi="Times New Roman" w:eastAsia="宋体" w:cs="Times New Roman"/>
                <w:b/>
                <w:bCs/>
                <w:spacing w:val="7"/>
                <w:sz w:val="24"/>
                <w:szCs w:val="24"/>
                <w:lang w:eastAsia="zh-CN"/>
              </w:rPr>
              <w:t>2 航空货运区项目</w:t>
            </w:r>
            <w:r>
              <w:rPr>
                <w:rFonts w:ascii="Times New Roman" w:hAnsi="Times New Roman" w:eastAsia="宋体" w:cs="Times New Roman"/>
                <w:spacing w:val="7"/>
                <w:sz w:val="24"/>
                <w:szCs w:val="24"/>
                <w:lang w:eastAsia="zh-CN"/>
                <w14:textOutline w14:w="3797" w14:cap="sq" w14:cmpd="sng" w14:algn="ctr">
                  <w14:solidFill>
                    <w14:srgbClr w14:val="000000"/>
                  </w14:solidFill>
                  <w14:prstDash w14:val="solid"/>
                  <w14:bevel/>
                </w14:textOutline>
              </w:rPr>
              <w:t>总平面布置</w:t>
            </w:r>
          </w:p>
          <w:p>
            <w:pPr>
              <w:pStyle w:val="46"/>
              <w:spacing w:line="360" w:lineRule="auto"/>
              <w:ind w:firstLine="528" w:firstLineChars="200"/>
              <w:rPr>
                <w:rFonts w:ascii="Times New Roman" w:hAnsi="Times New Roman" w:eastAsia="宋体" w:cs="Times New Roman"/>
                <w:sz w:val="24"/>
                <w:szCs w:val="24"/>
                <w:lang w:eastAsia="zh-CN"/>
              </w:rPr>
            </w:pPr>
            <w:r>
              <w:rPr>
                <w:rFonts w:ascii="Times New Roman" w:hAnsi="Times New Roman" w:eastAsia="宋体" w:cs="Times New Roman"/>
                <w:color w:val="000000" w:themeColor="text1"/>
                <w:spacing w:val="12"/>
                <w:sz w:val="24"/>
                <w:szCs w:val="24"/>
                <w:lang w:eastAsia="zh-CN"/>
                <w14:textFill>
                  <w14:solidFill>
                    <w14:schemeClr w14:val="tx1"/>
                  </w14:solidFill>
                </w14:textFill>
              </w:rPr>
              <w:t>本项目已处理区位于项目区西北侧，熏蒸处理区位于项目区东北侧，熏蒸处</w:t>
            </w:r>
            <w:r>
              <w:rPr>
                <w:rFonts w:ascii="Times New Roman" w:hAnsi="Times New Roman" w:eastAsia="宋体" w:cs="Times New Roman"/>
                <w:color w:val="000000" w:themeColor="text1"/>
                <w:spacing w:val="11"/>
                <w:sz w:val="24"/>
                <w:szCs w:val="24"/>
                <w:lang w:eastAsia="zh-CN"/>
                <w14:textFill>
                  <w14:solidFill>
                    <w14:schemeClr w14:val="tx1"/>
                  </w14:solidFill>
                </w14:textFill>
              </w:rPr>
              <w:t>理区的安全</w:t>
            </w:r>
            <w:r>
              <w:rPr>
                <w:rFonts w:ascii="Times New Roman" w:hAnsi="Times New Roman" w:eastAsia="宋体" w:cs="Times New Roman"/>
                <w:color w:val="000000" w:themeColor="text1"/>
                <w:spacing w:val="10"/>
                <w:sz w:val="24"/>
                <w:szCs w:val="24"/>
                <w:lang w:eastAsia="zh-CN"/>
                <w14:textFill>
                  <w14:solidFill>
                    <w14:schemeClr w14:val="tx1"/>
                  </w14:solidFill>
                </w14:textFill>
              </w:rPr>
              <w:t>距离是50m，待处理区位于处理区南侧，无害化处理区位于熏蒸处理区南侧，水生动物检查</w:t>
            </w:r>
            <w:r>
              <w:rPr>
                <w:rFonts w:ascii="Times New Roman" w:hAnsi="Times New Roman" w:eastAsia="宋体" w:cs="Times New Roman"/>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12"/>
                <w:sz w:val="24"/>
                <w:szCs w:val="24"/>
                <w:lang w:eastAsia="zh-CN"/>
                <w14:textFill>
                  <w14:solidFill>
                    <w14:schemeClr w14:val="tx1"/>
                  </w14:solidFill>
                </w14:textFill>
              </w:rPr>
              <w:t>区位于项目区西南侧，水果检验区位于项目区东南侧。项目区周围布置绿化</w:t>
            </w:r>
            <w:r>
              <w:rPr>
                <w:rFonts w:ascii="Times New Roman" w:hAnsi="Times New Roman" w:eastAsia="宋体" w:cs="Times New Roman"/>
                <w:color w:val="000000" w:themeColor="text1"/>
                <w:spacing w:val="11"/>
                <w:sz w:val="24"/>
                <w:szCs w:val="24"/>
                <w:lang w:eastAsia="zh-CN"/>
                <w14:textFill>
                  <w14:solidFill>
                    <w14:schemeClr w14:val="tx1"/>
                  </w14:solidFill>
                </w14:textFill>
              </w:rPr>
              <w:t>，并做好水土保</w:t>
            </w:r>
            <w:r>
              <w:rPr>
                <w:rFonts w:ascii="Times New Roman" w:hAnsi="Times New Roman" w:eastAsia="宋体" w:cs="Times New Roman"/>
                <w:color w:val="000000" w:themeColor="text1"/>
                <w:sz w:val="24"/>
                <w:szCs w:val="24"/>
                <w:lang w:eastAsia="zh-CN"/>
                <w14:textFill>
                  <w14:solidFill>
                    <w14:schemeClr w14:val="tx1"/>
                  </w14:solidFill>
                </w14:textFill>
              </w:rPr>
              <w:t xml:space="preserve"> </w:t>
            </w:r>
            <w:r>
              <w:rPr>
                <w:rFonts w:ascii="Times New Roman" w:hAnsi="Times New Roman" w:eastAsia="宋体" w:cs="Times New Roman"/>
                <w:color w:val="000000" w:themeColor="text1"/>
                <w:spacing w:val="12"/>
                <w:sz w:val="24"/>
                <w:szCs w:val="24"/>
                <w:lang w:eastAsia="zh-CN"/>
                <w14:textFill>
                  <w14:solidFill>
                    <w14:schemeClr w14:val="tx1"/>
                  </w14:solidFill>
                </w14:textFill>
              </w:rPr>
              <w:t>持工作。本项目厂区布局合理，满足与周围环境</w:t>
            </w:r>
            <w:r>
              <w:rPr>
                <w:rFonts w:ascii="Times New Roman" w:hAnsi="Times New Roman" w:eastAsia="宋体" w:cs="Times New Roman"/>
                <w:color w:val="000000" w:themeColor="text1"/>
                <w:spacing w:val="11"/>
                <w:sz w:val="24"/>
                <w:szCs w:val="24"/>
                <w:lang w:eastAsia="zh-CN"/>
                <w14:textFill>
                  <w14:solidFill>
                    <w14:schemeClr w14:val="tx1"/>
                  </w14:solidFill>
                </w14:textFill>
              </w:rPr>
              <w:t>的关系，人流、物流各行其道，分区明确，</w:t>
            </w:r>
            <w:r>
              <w:rPr>
                <w:rFonts w:ascii="Times New Roman" w:hAnsi="Times New Roman" w:eastAsia="宋体" w:cs="Times New Roman"/>
                <w:color w:val="000000" w:themeColor="text1"/>
                <w:spacing w:val="7"/>
                <w:sz w:val="24"/>
                <w:szCs w:val="24"/>
                <w:lang w:eastAsia="zh-CN"/>
                <w14:textFill>
                  <w14:solidFill>
                    <w14:schemeClr w14:val="tx1"/>
                  </w14:solidFill>
                </w14:textFill>
              </w:rPr>
              <w:t>互不干扰。</w:t>
            </w:r>
            <w:r>
              <w:rPr>
                <w:rFonts w:ascii="Times New Roman" w:hAnsi="Times New Roman" w:eastAsia="宋体" w:cs="Times New Roman"/>
                <w:color w:val="000000" w:themeColor="text1"/>
                <w:spacing w:val="7"/>
                <w:sz w:val="24"/>
                <w:szCs w:val="24"/>
                <w14:textFill>
                  <w14:solidFill>
                    <w14:schemeClr w14:val="tx1"/>
                  </w14:solidFill>
                </w14:textFill>
              </w:rPr>
              <w:t>项目平面布置见附图</w:t>
            </w:r>
            <w:r>
              <w:rPr>
                <w:rFonts w:hint="eastAsia" w:ascii="Times New Roman" w:hAnsi="Times New Roman" w:eastAsia="宋体" w:cs="Times New Roman"/>
                <w:color w:val="000000" w:themeColor="text1"/>
                <w:spacing w:val="7"/>
                <w:sz w:val="24"/>
                <w:szCs w:val="24"/>
                <w:lang w:val="en-US" w:eastAsia="zh-CN"/>
                <w14:textFill>
                  <w14:solidFill>
                    <w14:schemeClr w14:val="tx1"/>
                  </w14:solidFill>
                </w14:textFill>
              </w:rPr>
              <w:t>6-1</w:t>
            </w:r>
            <w:r>
              <w:rPr>
                <w:rFonts w:ascii="Times New Roman" w:hAnsi="Times New Roman" w:eastAsia="宋体" w:cs="Times New Roman"/>
                <w:color w:val="000000" w:themeColor="text1"/>
                <w:spacing w:val="7"/>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0" w:type="dxa"/>
            <w:vAlign w:val="center"/>
          </w:tcPr>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r>
              <w:rPr>
                <w:kern w:val="0"/>
              </w:rPr>
              <w:t>施工方案</w:t>
            </w: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p>
            <w:pPr>
              <w:adjustRightInd w:val="0"/>
              <w:snapToGrid w:val="0"/>
              <w:spacing w:line="360" w:lineRule="auto"/>
              <w:jc w:val="center"/>
              <w:rPr>
                <w:kern w:val="0"/>
              </w:rPr>
            </w:pPr>
          </w:p>
        </w:tc>
        <w:tc>
          <w:tcPr>
            <w:tcW w:w="7774" w:type="dxa"/>
            <w:vAlign w:val="center"/>
          </w:tcPr>
          <w:p>
            <w:pPr>
              <w:spacing w:before="120" w:beforeLines="50" w:line="360" w:lineRule="auto"/>
              <w:rPr>
                <w:b/>
                <w:bCs/>
              </w:rPr>
            </w:pPr>
            <w:r>
              <w:rPr>
                <w:b/>
                <w:bCs/>
              </w:rPr>
              <w:t>1、燃气管道建设项目</w:t>
            </w:r>
          </w:p>
          <w:p>
            <w:pPr>
              <w:spacing w:line="360" w:lineRule="auto"/>
              <w:ind w:firstLine="482" w:firstLineChars="200"/>
              <w:rPr>
                <w:b/>
                <w:bCs/>
              </w:rPr>
            </w:pPr>
            <w:r>
              <w:rPr>
                <w:b/>
                <w:bCs/>
              </w:rPr>
              <w:t>（1）施工工艺</w:t>
            </w:r>
          </w:p>
          <w:p>
            <w:pPr>
              <w:pStyle w:val="11"/>
              <w:spacing w:line="360" w:lineRule="auto"/>
              <w:rPr>
                <w:rFonts w:hint="default" w:ascii="Times New Roman" w:hAnsi="Times New Roman"/>
                <w:sz w:val="24"/>
              </w:rPr>
            </w:pPr>
            <w:r>
              <w:rPr>
                <w:rFonts w:hint="default" w:ascii="Times New Roman" w:hAnsi="Times New Roman"/>
                <w:sz w:val="18"/>
                <w:szCs w:val="18"/>
              </w:rPr>
              <mc:AlternateContent>
                <mc:Choice Requires="wpg">
                  <w:drawing>
                    <wp:inline distT="0" distB="0" distL="114300" distR="114300">
                      <wp:extent cx="5112385" cy="3870960"/>
                      <wp:effectExtent l="0" t="0" r="0" b="8890"/>
                      <wp:docPr id="64" name="组合 64"/>
                      <wp:cNvGraphicFramePr/>
                      <a:graphic xmlns:a="http://schemas.openxmlformats.org/drawingml/2006/main">
                        <a:graphicData uri="http://schemas.microsoft.com/office/word/2010/wordprocessingGroup">
                          <wpg:wgp>
                            <wpg:cNvGrpSpPr>
                              <a:grpSpLocks noRot="1"/>
                            </wpg:cNvGrpSpPr>
                            <wpg:grpSpPr>
                              <a:xfrm>
                                <a:off x="0" y="0"/>
                                <a:ext cx="5112302" cy="3870932"/>
                                <a:chOff x="-121" y="-10"/>
                                <a:chExt cx="7501" cy="6778"/>
                              </a:xfrm>
                            </wpg:grpSpPr>
                            <wps:wsp>
                              <wps:cNvPr id="1" name="矩形 1"/>
                              <wps:cNvSpPr>
                                <a:spLocks noChangeAspect="1" noTextEdit="1"/>
                              </wps:cNvSpPr>
                              <wps:spPr>
                                <a:xfrm>
                                  <a:off x="-10" y="-10"/>
                                  <a:ext cx="7390" cy="6718"/>
                                </a:xfrm>
                                <a:prstGeom prst="rect">
                                  <a:avLst/>
                                </a:prstGeom>
                                <a:noFill/>
                                <a:ln>
                                  <a:noFill/>
                                </a:ln>
                              </wps:spPr>
                              <wps:bodyPr upright="1"/>
                            </wps:wsp>
                            <wps:wsp>
                              <wps:cNvPr id="3" name="直接连接符 3"/>
                              <wps:cNvCnPr/>
                              <wps:spPr>
                                <a:xfrm>
                                  <a:off x="2700" y="780"/>
                                  <a:ext cx="1" cy="468"/>
                                </a:xfrm>
                                <a:prstGeom prst="line">
                                  <a:avLst/>
                                </a:prstGeom>
                                <a:ln w="9525" cap="flat" cmpd="sng">
                                  <a:solidFill>
                                    <a:srgbClr val="000000"/>
                                  </a:solidFill>
                                  <a:prstDash val="solid"/>
                                  <a:headEnd type="none" w="med" len="med"/>
                                  <a:tailEnd type="triangle" w="med" len="med"/>
                                </a:ln>
                              </wps:spPr>
                              <wps:bodyPr/>
                            </wps:wsp>
                            <wps:wsp>
                              <wps:cNvPr id="4" name="矩形 4"/>
                              <wps:cNvSpPr/>
                              <wps:spPr>
                                <a:xfrm>
                                  <a:off x="1770" y="312"/>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定位放线</w:t>
                                    </w:r>
                                  </w:p>
                                </w:txbxContent>
                              </wps:txbx>
                              <wps:bodyPr upright="1"/>
                            </wps:wsp>
                            <wps:wsp>
                              <wps:cNvPr id="6" name="直接连接符 6"/>
                              <wps:cNvCnPr/>
                              <wps:spPr>
                                <a:xfrm flipH="1">
                                  <a:off x="1242" y="1470"/>
                                  <a:ext cx="540" cy="1"/>
                                </a:xfrm>
                                <a:prstGeom prst="line">
                                  <a:avLst/>
                                </a:prstGeom>
                                <a:ln w="9525" cap="flat" cmpd="sng">
                                  <a:solidFill>
                                    <a:srgbClr val="000000"/>
                                  </a:solidFill>
                                  <a:prstDash val="dash"/>
                                  <a:headEnd type="none" w="med" len="med"/>
                                  <a:tailEnd type="triangle" w="med" len="med"/>
                                </a:ln>
                              </wps:spPr>
                              <wps:bodyPr/>
                            </wps:wsp>
                            <wps:wsp>
                              <wps:cNvPr id="7" name="直接连接符 7"/>
                              <wps:cNvCnPr/>
                              <wps:spPr>
                                <a:xfrm>
                                  <a:off x="2700" y="1716"/>
                                  <a:ext cx="1" cy="468"/>
                                </a:xfrm>
                                <a:prstGeom prst="line">
                                  <a:avLst/>
                                </a:prstGeom>
                                <a:ln w="9525" cap="flat" cmpd="sng">
                                  <a:solidFill>
                                    <a:srgbClr val="000000"/>
                                  </a:solidFill>
                                  <a:prstDash val="solid"/>
                                  <a:headEnd type="none" w="med" len="med"/>
                                  <a:tailEnd type="triangle" w="med" len="med"/>
                                </a:ln>
                              </wps:spPr>
                              <wps:bodyPr/>
                            </wps:wsp>
                            <wps:wsp>
                              <wps:cNvPr id="8" name="矩形 8"/>
                              <wps:cNvSpPr/>
                              <wps:spPr>
                                <a:xfrm>
                                  <a:off x="1785" y="1248"/>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清除障碍</w:t>
                                    </w:r>
                                  </w:p>
                                </w:txbxContent>
                              </wps:txbx>
                              <wps:bodyPr upright="1"/>
                            </wps:wsp>
                            <wps:wsp>
                              <wps:cNvPr id="9" name="直接连接符 9"/>
                              <wps:cNvCnPr/>
                              <wps:spPr>
                                <a:xfrm>
                                  <a:off x="2715" y="2652"/>
                                  <a:ext cx="1" cy="468"/>
                                </a:xfrm>
                                <a:prstGeom prst="line">
                                  <a:avLst/>
                                </a:prstGeom>
                                <a:ln w="9525" cap="flat" cmpd="sng">
                                  <a:solidFill>
                                    <a:srgbClr val="000000"/>
                                  </a:solidFill>
                                  <a:prstDash val="solid"/>
                                  <a:headEnd type="none" w="med" len="med"/>
                                  <a:tailEnd type="triangle" w="med" len="med"/>
                                </a:ln>
                              </wps:spPr>
                              <wps:bodyPr/>
                            </wps:wsp>
                            <wps:wsp>
                              <wps:cNvPr id="10" name="矩形 10"/>
                              <wps:cNvSpPr/>
                              <wps:spPr>
                                <a:xfrm>
                                  <a:off x="1800" y="2184"/>
                                  <a:ext cx="204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表土剥离、保护</w:t>
                                    </w:r>
                                  </w:p>
                                </w:txbxContent>
                              </wps:txbx>
                              <wps:bodyPr upright="1"/>
                            </wps:wsp>
                            <wps:wsp>
                              <wps:cNvPr id="11" name="直接连接符 11"/>
                              <wps:cNvCnPr/>
                              <wps:spPr>
                                <a:xfrm>
                                  <a:off x="2715" y="3588"/>
                                  <a:ext cx="1" cy="468"/>
                                </a:xfrm>
                                <a:prstGeom prst="line">
                                  <a:avLst/>
                                </a:prstGeom>
                                <a:ln w="9525" cap="flat" cmpd="sng">
                                  <a:solidFill>
                                    <a:srgbClr val="000000"/>
                                  </a:solidFill>
                                  <a:prstDash val="solid"/>
                                  <a:headEnd type="none" w="med" len="med"/>
                                  <a:tailEnd type="triangle" w="med" len="med"/>
                                </a:ln>
                              </wps:spPr>
                              <wps:bodyPr/>
                            </wps:wsp>
                            <wps:wsp>
                              <wps:cNvPr id="12" name="矩形 12"/>
                              <wps:cNvSpPr/>
                              <wps:spPr>
                                <a:xfrm>
                                  <a:off x="1800" y="3120"/>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沟槽开挖</w:t>
                                    </w:r>
                                  </w:p>
                                </w:txbxContent>
                              </wps:txbx>
                              <wps:bodyPr upright="1"/>
                            </wps:wsp>
                            <wps:wsp>
                              <wps:cNvPr id="13" name="直接连接符 13"/>
                              <wps:cNvCnPr/>
                              <wps:spPr>
                                <a:xfrm>
                                  <a:off x="2715" y="4524"/>
                                  <a:ext cx="1" cy="468"/>
                                </a:xfrm>
                                <a:prstGeom prst="line">
                                  <a:avLst/>
                                </a:prstGeom>
                                <a:ln w="9525" cap="flat" cmpd="sng">
                                  <a:solidFill>
                                    <a:srgbClr val="000000"/>
                                  </a:solidFill>
                                  <a:prstDash val="solid"/>
                                  <a:headEnd type="none" w="med" len="med"/>
                                  <a:tailEnd type="triangle" w="med" len="med"/>
                                </a:ln>
                              </wps:spPr>
                              <wps:bodyPr/>
                            </wps:wsp>
                            <wps:wsp>
                              <wps:cNvPr id="14" name="矩形 14"/>
                              <wps:cNvSpPr/>
                              <wps:spPr>
                                <a:xfrm>
                                  <a:off x="1800" y="4056"/>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沟底夯实</w:t>
                                    </w:r>
                                  </w:p>
                                </w:txbxContent>
                              </wps:txbx>
                              <wps:bodyPr upright="1"/>
                            </wps:wsp>
                            <wps:wsp>
                              <wps:cNvPr id="15" name="直接连接符 15"/>
                              <wps:cNvCnPr/>
                              <wps:spPr>
                                <a:xfrm>
                                  <a:off x="2715" y="5460"/>
                                  <a:ext cx="1" cy="468"/>
                                </a:xfrm>
                                <a:prstGeom prst="line">
                                  <a:avLst/>
                                </a:prstGeom>
                                <a:ln w="9525" cap="flat" cmpd="sng">
                                  <a:solidFill>
                                    <a:srgbClr val="000000"/>
                                  </a:solidFill>
                                  <a:prstDash val="solid"/>
                                  <a:headEnd type="none" w="med" len="med"/>
                                  <a:tailEnd type="triangle" w="med" len="med"/>
                                </a:ln>
                              </wps:spPr>
                              <wps:bodyPr/>
                            </wps:wsp>
                            <wps:wsp>
                              <wps:cNvPr id="16" name="矩形 16"/>
                              <wps:cNvSpPr/>
                              <wps:spPr>
                                <a:xfrm>
                                  <a:off x="1800" y="4992"/>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安装准备</w:t>
                                    </w:r>
                                  </w:p>
                                </w:txbxContent>
                              </wps:txbx>
                              <wps:bodyPr upright="1"/>
                            </wps:wsp>
                            <wps:wsp>
                              <wps:cNvPr id="17" name="矩形 17"/>
                              <wps:cNvSpPr/>
                              <wps:spPr>
                                <a:xfrm>
                                  <a:off x="1620" y="5927"/>
                                  <a:ext cx="2370" cy="8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清扫管膛、管件、就位</w:t>
                                    </w:r>
                                  </w:p>
                                </w:txbxContent>
                              </wps:txbx>
                              <wps:bodyPr upright="1"/>
                            </wps:wsp>
                            <wps:wsp>
                              <wps:cNvPr id="18" name="矩形 18"/>
                              <wps:cNvSpPr/>
                              <wps:spPr>
                                <a:xfrm>
                                  <a:off x="5220" y="312"/>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运营使用</w:t>
                                    </w:r>
                                  </w:p>
                                </w:txbxContent>
                              </wps:txbx>
                              <wps:bodyPr upright="1"/>
                            </wps:wsp>
                            <wps:wsp>
                              <wps:cNvPr id="19" name="直接连接符 19"/>
                              <wps:cNvCnPr/>
                              <wps:spPr>
                                <a:xfrm>
                                  <a:off x="6150" y="780"/>
                                  <a:ext cx="1" cy="468"/>
                                </a:xfrm>
                                <a:prstGeom prst="line">
                                  <a:avLst/>
                                </a:prstGeom>
                                <a:ln w="9525" cap="flat" cmpd="sng">
                                  <a:solidFill>
                                    <a:srgbClr val="000000"/>
                                  </a:solidFill>
                                  <a:prstDash val="solid"/>
                                  <a:headEnd type="triangle" w="med" len="med"/>
                                  <a:tailEnd type="none" w="med" len="med"/>
                                </a:ln>
                              </wps:spPr>
                              <wps:bodyPr/>
                            </wps:wsp>
                            <wps:wsp>
                              <wps:cNvPr id="20" name="直接连接符 20"/>
                              <wps:cNvCnPr/>
                              <wps:spPr>
                                <a:xfrm>
                                  <a:off x="6165" y="1716"/>
                                  <a:ext cx="1" cy="468"/>
                                </a:xfrm>
                                <a:prstGeom prst="line">
                                  <a:avLst/>
                                </a:prstGeom>
                                <a:ln w="9525" cap="flat" cmpd="sng">
                                  <a:solidFill>
                                    <a:srgbClr val="000000"/>
                                  </a:solidFill>
                                  <a:prstDash val="solid"/>
                                  <a:headEnd type="triangle" w="med" len="med"/>
                                  <a:tailEnd type="none" w="med" len="med"/>
                                </a:ln>
                              </wps:spPr>
                              <wps:bodyPr/>
                            </wps:wsp>
                            <wps:wsp>
                              <wps:cNvPr id="21" name="矩形 21"/>
                              <wps:cNvSpPr/>
                              <wps:spPr>
                                <a:xfrm>
                                  <a:off x="5250" y="1248"/>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竣工验收</w:t>
                                    </w:r>
                                  </w:p>
                                </w:txbxContent>
                              </wps:txbx>
                              <wps:bodyPr upright="1"/>
                            </wps:wsp>
                            <wps:wsp>
                              <wps:cNvPr id="22" name="直接连接符 22"/>
                              <wps:cNvCnPr/>
                              <wps:spPr>
                                <a:xfrm>
                                  <a:off x="6165" y="2652"/>
                                  <a:ext cx="1" cy="468"/>
                                </a:xfrm>
                                <a:prstGeom prst="line">
                                  <a:avLst/>
                                </a:prstGeom>
                                <a:ln w="9525" cap="flat" cmpd="sng">
                                  <a:solidFill>
                                    <a:srgbClr val="000000"/>
                                  </a:solidFill>
                                  <a:prstDash val="solid"/>
                                  <a:headEnd type="triangle" w="med" len="med"/>
                                  <a:tailEnd type="none" w="med" len="med"/>
                                </a:ln>
                              </wps:spPr>
                              <wps:bodyPr/>
                            </wps:wsp>
                            <wps:wsp>
                              <wps:cNvPr id="23" name="矩形 23"/>
                              <wps:cNvSpPr/>
                              <wps:spPr>
                                <a:xfrm>
                                  <a:off x="5250" y="2184"/>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管沟夯填</w:t>
                                    </w:r>
                                  </w:p>
                                </w:txbxContent>
                              </wps:txbx>
                              <wps:bodyPr upright="1"/>
                            </wps:wsp>
                            <wps:wsp>
                              <wps:cNvPr id="24" name="直接连接符 24"/>
                              <wps:cNvCnPr/>
                              <wps:spPr>
                                <a:xfrm>
                                  <a:off x="6165" y="3588"/>
                                  <a:ext cx="1" cy="468"/>
                                </a:xfrm>
                                <a:prstGeom prst="line">
                                  <a:avLst/>
                                </a:prstGeom>
                                <a:ln w="9525" cap="flat" cmpd="sng">
                                  <a:solidFill>
                                    <a:srgbClr val="000000"/>
                                  </a:solidFill>
                                  <a:prstDash val="solid"/>
                                  <a:headEnd type="triangle" w="med" len="med"/>
                                  <a:tailEnd type="none" w="med" len="med"/>
                                </a:ln>
                              </wps:spPr>
                              <wps:bodyPr/>
                            </wps:wsp>
                            <wps:wsp>
                              <wps:cNvPr id="25" name="矩形 25"/>
                              <wps:cNvSpPr/>
                              <wps:spPr>
                                <a:xfrm>
                                  <a:off x="5250" y="3120"/>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阀门安装</w:t>
                                    </w:r>
                                  </w:p>
                                </w:txbxContent>
                              </wps:txbx>
                              <wps:bodyPr upright="1"/>
                            </wps:wsp>
                            <wps:wsp>
                              <wps:cNvPr id="26" name="直接连接符 26"/>
                              <wps:cNvCnPr/>
                              <wps:spPr>
                                <a:xfrm>
                                  <a:off x="6165" y="4524"/>
                                  <a:ext cx="1" cy="468"/>
                                </a:xfrm>
                                <a:prstGeom prst="line">
                                  <a:avLst/>
                                </a:prstGeom>
                                <a:ln w="9525" cap="flat" cmpd="sng">
                                  <a:solidFill>
                                    <a:srgbClr val="000000"/>
                                  </a:solidFill>
                                  <a:prstDash val="solid"/>
                                  <a:headEnd type="triangle" w="med" len="med"/>
                                  <a:tailEnd type="none" w="med" len="med"/>
                                </a:ln>
                              </wps:spPr>
                              <wps:bodyPr/>
                            </wps:wsp>
                            <wps:wsp>
                              <wps:cNvPr id="27" name="矩形 27"/>
                              <wps:cNvSpPr/>
                              <wps:spPr>
                                <a:xfrm>
                                  <a:off x="5250" y="4056"/>
                                  <a:ext cx="1959"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管道检验与试压</w:t>
                                    </w:r>
                                  </w:p>
                                </w:txbxContent>
                              </wps:txbx>
                              <wps:bodyPr upright="1"/>
                            </wps:wsp>
                            <wps:wsp>
                              <wps:cNvPr id="28" name="矩形 28"/>
                              <wps:cNvSpPr/>
                              <wps:spPr>
                                <a:xfrm>
                                  <a:off x="5250" y="4992"/>
                                  <a:ext cx="183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管道联接</w:t>
                                    </w:r>
                                  </w:p>
                                </w:txbxContent>
                              </wps:txbx>
                              <wps:bodyPr upright="1"/>
                            </wps:wsp>
                            <wps:wsp>
                              <wps:cNvPr id="29" name="肘形连接符 29"/>
                              <wps:cNvCnPr>
                                <a:stCxn id="17" idx="3"/>
                                <a:endCxn id="28" idx="2"/>
                              </wps:cNvCnPr>
                              <wps:spPr>
                                <a:xfrm flipV="1">
                                  <a:off x="3990" y="5460"/>
                                  <a:ext cx="2176" cy="887"/>
                                </a:xfrm>
                                <a:prstGeom prst="bentConnector2">
                                  <a:avLst/>
                                </a:prstGeom>
                                <a:ln w="9525" cap="flat" cmpd="sng">
                                  <a:solidFill>
                                    <a:srgbClr val="000000"/>
                                  </a:solidFill>
                                  <a:prstDash val="solid"/>
                                  <a:miter/>
                                  <a:headEnd type="none" w="med" len="med"/>
                                  <a:tailEnd type="triangle" w="med" len="med"/>
                                </a:ln>
                              </wps:spPr>
                              <wps:bodyPr/>
                            </wps:wsp>
                            <wps:wsp>
                              <wps:cNvPr id="30" name="直接连接符 30"/>
                              <wps:cNvCnPr/>
                              <wps:spPr>
                                <a:xfrm flipH="1">
                                  <a:off x="1260" y="2394"/>
                                  <a:ext cx="540" cy="1"/>
                                </a:xfrm>
                                <a:prstGeom prst="line">
                                  <a:avLst/>
                                </a:prstGeom>
                                <a:ln w="9525" cap="flat" cmpd="sng">
                                  <a:solidFill>
                                    <a:srgbClr val="000000"/>
                                  </a:solidFill>
                                  <a:prstDash val="dash"/>
                                  <a:headEnd type="none" w="med" len="med"/>
                                  <a:tailEnd type="triangle" w="med" len="med"/>
                                </a:ln>
                              </wps:spPr>
                              <wps:bodyPr/>
                            </wps:wsp>
                            <wps:wsp>
                              <wps:cNvPr id="31" name="矩形 31"/>
                              <wps:cNvSpPr/>
                              <wps:spPr>
                                <a:xfrm>
                                  <a:off x="0" y="1248"/>
                                  <a:ext cx="1260" cy="496"/>
                                </a:xfrm>
                                <a:prstGeom prst="rect">
                                  <a:avLst/>
                                </a:prstGeom>
                                <a:noFill/>
                                <a:ln>
                                  <a:noFill/>
                                </a:ln>
                              </wps:spPr>
                              <wps:txbx>
                                <w:txbxContent>
                                  <w:p>
                                    <w:pPr>
                                      <w:jc w:val="center"/>
                                      <w:rPr>
                                        <w:szCs w:val="21"/>
                                      </w:rPr>
                                    </w:pPr>
                                    <w:r>
                                      <w:rPr>
                                        <w:rFonts w:hint="eastAsia"/>
                                        <w:szCs w:val="21"/>
                                      </w:rPr>
                                      <w:t>噪声</w:t>
                                    </w:r>
                                  </w:p>
                                </w:txbxContent>
                              </wps:txbx>
                              <wps:bodyPr upright="1"/>
                            </wps:wsp>
                            <wps:wsp>
                              <wps:cNvPr id="32" name="矩形 32"/>
                              <wps:cNvSpPr/>
                              <wps:spPr>
                                <a:xfrm>
                                  <a:off x="0" y="2184"/>
                                  <a:ext cx="1260" cy="856"/>
                                </a:xfrm>
                                <a:prstGeom prst="rect">
                                  <a:avLst/>
                                </a:prstGeom>
                                <a:noFill/>
                                <a:ln>
                                  <a:noFill/>
                                </a:ln>
                              </wps:spPr>
                              <wps:txbx>
                                <w:txbxContent>
                                  <w:p>
                                    <w:pPr>
                                      <w:jc w:val="center"/>
                                      <w:rPr>
                                        <w:szCs w:val="21"/>
                                      </w:rPr>
                                    </w:pPr>
                                    <w:r>
                                      <w:rPr>
                                        <w:rFonts w:hint="eastAsia"/>
                                        <w:szCs w:val="21"/>
                                      </w:rPr>
                                      <w:t>噪声、扬尘</w:t>
                                    </w:r>
                                  </w:p>
                                  <w:p>
                                    <w:pPr>
                                      <w:jc w:val="center"/>
                                      <w:rPr>
                                        <w:szCs w:val="21"/>
                                      </w:rPr>
                                    </w:pPr>
                                  </w:p>
                                </w:txbxContent>
                              </wps:txbx>
                              <wps:bodyPr upright="1"/>
                            </wps:wsp>
                            <wps:wsp>
                              <wps:cNvPr id="33" name="直接连接符 33"/>
                              <wps:cNvCnPr/>
                              <wps:spPr>
                                <a:xfrm flipH="1">
                                  <a:off x="1251" y="3369"/>
                                  <a:ext cx="540" cy="1"/>
                                </a:xfrm>
                                <a:prstGeom prst="line">
                                  <a:avLst/>
                                </a:prstGeom>
                                <a:ln w="9525" cap="flat" cmpd="sng">
                                  <a:solidFill>
                                    <a:srgbClr val="000000"/>
                                  </a:solidFill>
                                  <a:prstDash val="dash"/>
                                  <a:headEnd type="none" w="med" len="med"/>
                                  <a:tailEnd type="triangle" w="med" len="med"/>
                                </a:ln>
                              </wps:spPr>
                              <wps:bodyPr/>
                            </wps:wsp>
                            <wps:wsp>
                              <wps:cNvPr id="34" name="矩形 34"/>
                              <wps:cNvSpPr/>
                              <wps:spPr>
                                <a:xfrm>
                                  <a:off x="-121" y="3120"/>
                                  <a:ext cx="1381" cy="1012"/>
                                </a:xfrm>
                                <a:prstGeom prst="rect">
                                  <a:avLst/>
                                </a:prstGeom>
                                <a:noFill/>
                                <a:ln>
                                  <a:noFill/>
                                </a:ln>
                              </wps:spPr>
                              <wps:txbx>
                                <w:txbxContent>
                                  <w:p>
                                    <w:pPr>
                                      <w:jc w:val="center"/>
                                      <w:rPr>
                                        <w:szCs w:val="21"/>
                                      </w:rPr>
                                    </w:pPr>
                                    <w:r>
                                      <w:rPr>
                                        <w:rFonts w:hint="eastAsia"/>
                                        <w:szCs w:val="21"/>
                                      </w:rPr>
                                      <w:t>噪声、扬尘</w:t>
                                    </w:r>
                                  </w:p>
                                  <w:p>
                                    <w:pPr>
                                      <w:jc w:val="center"/>
                                      <w:rPr>
                                        <w:szCs w:val="21"/>
                                      </w:rPr>
                                    </w:pPr>
                                    <w:r>
                                      <w:rPr>
                                        <w:rFonts w:hint="eastAsia"/>
                                        <w:szCs w:val="21"/>
                                      </w:rPr>
                                      <w:t>弃土</w:t>
                                    </w:r>
                                  </w:p>
                                </w:txbxContent>
                              </wps:txbx>
                              <wps:bodyPr upright="1"/>
                            </wps:wsp>
                            <wps:wsp>
                              <wps:cNvPr id="35" name="直接连接符 35"/>
                              <wps:cNvCnPr/>
                              <wps:spPr>
                                <a:xfrm flipH="1">
                                  <a:off x="1260" y="4287"/>
                                  <a:ext cx="540" cy="1"/>
                                </a:xfrm>
                                <a:prstGeom prst="line">
                                  <a:avLst/>
                                </a:prstGeom>
                                <a:ln w="9525" cap="flat" cmpd="sng">
                                  <a:solidFill>
                                    <a:srgbClr val="000000"/>
                                  </a:solidFill>
                                  <a:prstDash val="dash"/>
                                  <a:headEnd type="none" w="med" len="med"/>
                                  <a:tailEnd type="triangle" w="med" len="med"/>
                                </a:ln>
                              </wps:spPr>
                              <wps:bodyPr/>
                            </wps:wsp>
                            <wps:wsp>
                              <wps:cNvPr id="36" name="矩形 36"/>
                              <wps:cNvSpPr/>
                              <wps:spPr>
                                <a:xfrm>
                                  <a:off x="18" y="4065"/>
                                  <a:ext cx="1260" cy="468"/>
                                </a:xfrm>
                                <a:prstGeom prst="rect">
                                  <a:avLst/>
                                </a:prstGeom>
                                <a:noFill/>
                                <a:ln>
                                  <a:noFill/>
                                </a:ln>
                              </wps:spPr>
                              <wps:txbx>
                                <w:txbxContent>
                                  <w:p>
                                    <w:pPr>
                                      <w:jc w:val="center"/>
                                      <w:rPr>
                                        <w:szCs w:val="21"/>
                                      </w:rPr>
                                    </w:pPr>
                                    <w:r>
                                      <w:rPr>
                                        <w:rFonts w:hint="eastAsia"/>
                                        <w:szCs w:val="21"/>
                                      </w:rPr>
                                      <w:t>噪声</w:t>
                                    </w:r>
                                  </w:p>
                                </w:txbxContent>
                              </wps:txbx>
                              <wps:bodyPr upright="1"/>
                            </wps:wsp>
                            <wps:wsp>
                              <wps:cNvPr id="37" name="直接连接符 37"/>
                              <wps:cNvCnPr/>
                              <wps:spPr>
                                <a:xfrm flipH="1">
                                  <a:off x="1260" y="5211"/>
                                  <a:ext cx="540" cy="1"/>
                                </a:xfrm>
                                <a:prstGeom prst="line">
                                  <a:avLst/>
                                </a:prstGeom>
                                <a:ln w="9525" cap="flat" cmpd="sng">
                                  <a:solidFill>
                                    <a:srgbClr val="000000"/>
                                  </a:solidFill>
                                  <a:prstDash val="dash"/>
                                  <a:headEnd type="none" w="med" len="med"/>
                                  <a:tailEnd type="triangle" w="med" len="med"/>
                                </a:ln>
                              </wps:spPr>
                              <wps:bodyPr/>
                            </wps:wsp>
                            <wps:wsp>
                              <wps:cNvPr id="38" name="矩形 38"/>
                              <wps:cNvSpPr/>
                              <wps:spPr>
                                <a:xfrm>
                                  <a:off x="18" y="4989"/>
                                  <a:ext cx="1260" cy="468"/>
                                </a:xfrm>
                                <a:prstGeom prst="rect">
                                  <a:avLst/>
                                </a:prstGeom>
                                <a:noFill/>
                                <a:ln>
                                  <a:noFill/>
                                </a:ln>
                              </wps:spPr>
                              <wps:txbx>
                                <w:txbxContent>
                                  <w:p>
                                    <w:pPr>
                                      <w:jc w:val="center"/>
                                      <w:rPr>
                                        <w:szCs w:val="21"/>
                                      </w:rPr>
                                    </w:pPr>
                                    <w:r>
                                      <w:rPr>
                                        <w:rFonts w:hint="eastAsia"/>
                                        <w:szCs w:val="21"/>
                                      </w:rPr>
                                      <w:t>噪声</w:t>
                                    </w:r>
                                  </w:p>
                                </w:txbxContent>
                              </wps:txbx>
                              <wps:bodyPr upright="1"/>
                            </wps:wsp>
                            <wps:wsp>
                              <wps:cNvPr id="39" name="矩形 39"/>
                              <wps:cNvSpPr/>
                              <wps:spPr>
                                <a:xfrm>
                                  <a:off x="277" y="5928"/>
                                  <a:ext cx="882" cy="468"/>
                                </a:xfrm>
                                <a:prstGeom prst="rect">
                                  <a:avLst/>
                                </a:prstGeom>
                                <a:noFill/>
                                <a:ln>
                                  <a:noFill/>
                                </a:ln>
                              </wps:spPr>
                              <wps:txbx>
                                <w:txbxContent>
                                  <w:p>
                                    <w:pPr>
                                      <w:jc w:val="center"/>
                                      <w:rPr>
                                        <w:szCs w:val="21"/>
                                      </w:rPr>
                                    </w:pPr>
                                    <w:r>
                                      <w:rPr>
                                        <w:rFonts w:hint="eastAsia"/>
                                        <w:szCs w:val="21"/>
                                      </w:rPr>
                                      <w:t>噪声</w:t>
                                    </w:r>
                                  </w:p>
                                </w:txbxContent>
                              </wps:txbx>
                              <wps:bodyPr upright="1"/>
                            </wps:wsp>
                            <wps:wsp>
                              <wps:cNvPr id="40" name="直接连接符 40"/>
                              <wps:cNvCnPr/>
                              <wps:spPr>
                                <a:xfrm flipH="1">
                                  <a:off x="4707" y="3342"/>
                                  <a:ext cx="540" cy="1"/>
                                </a:xfrm>
                                <a:prstGeom prst="line">
                                  <a:avLst/>
                                </a:prstGeom>
                                <a:ln w="9525" cap="flat" cmpd="sng">
                                  <a:solidFill>
                                    <a:srgbClr val="000000"/>
                                  </a:solidFill>
                                  <a:prstDash val="dash"/>
                                  <a:headEnd type="none" w="med" len="med"/>
                                  <a:tailEnd type="triangle" w="med" len="med"/>
                                </a:ln>
                              </wps:spPr>
                              <wps:bodyPr/>
                            </wps:wsp>
                            <wps:wsp>
                              <wps:cNvPr id="41" name="矩形 41"/>
                              <wps:cNvSpPr/>
                              <wps:spPr>
                                <a:xfrm>
                                  <a:off x="3960" y="3120"/>
                                  <a:ext cx="765" cy="468"/>
                                </a:xfrm>
                                <a:prstGeom prst="rect">
                                  <a:avLst/>
                                </a:prstGeom>
                                <a:noFill/>
                                <a:ln>
                                  <a:noFill/>
                                </a:ln>
                              </wps:spPr>
                              <wps:txbx>
                                <w:txbxContent>
                                  <w:p>
                                    <w:pPr>
                                      <w:jc w:val="center"/>
                                      <w:rPr>
                                        <w:szCs w:val="21"/>
                                      </w:rPr>
                                    </w:pPr>
                                    <w:r>
                                      <w:rPr>
                                        <w:rFonts w:hint="eastAsia"/>
                                        <w:szCs w:val="21"/>
                                      </w:rPr>
                                      <w:t>噪声</w:t>
                                    </w:r>
                                  </w:p>
                                </w:txbxContent>
                              </wps:txbx>
                              <wps:bodyPr upright="1"/>
                            </wps:wsp>
                            <wps:wsp>
                              <wps:cNvPr id="42" name="直接连接符 42"/>
                              <wps:cNvCnPr/>
                              <wps:spPr>
                                <a:xfrm flipH="1">
                                  <a:off x="1064" y="6150"/>
                                  <a:ext cx="540" cy="1"/>
                                </a:xfrm>
                                <a:prstGeom prst="line">
                                  <a:avLst/>
                                </a:prstGeom>
                                <a:ln w="9525" cap="flat" cmpd="sng">
                                  <a:solidFill>
                                    <a:srgbClr val="000000"/>
                                  </a:solidFill>
                                  <a:prstDash val="dash"/>
                                  <a:headEnd type="none" w="med" len="med"/>
                                  <a:tailEnd type="triangle" w="med" len="med"/>
                                </a:ln>
                              </wps:spPr>
                              <wps:bodyPr/>
                            </wps:wsp>
                            <wps:wsp>
                              <wps:cNvPr id="43" name="直接连接符 43"/>
                              <wps:cNvCnPr/>
                              <wps:spPr>
                                <a:xfrm flipH="1">
                                  <a:off x="4716" y="4275"/>
                                  <a:ext cx="540" cy="1"/>
                                </a:xfrm>
                                <a:prstGeom prst="line">
                                  <a:avLst/>
                                </a:prstGeom>
                                <a:ln w="9525" cap="flat" cmpd="sng">
                                  <a:solidFill>
                                    <a:srgbClr val="000000"/>
                                  </a:solidFill>
                                  <a:prstDash val="dash"/>
                                  <a:headEnd type="none" w="med" len="med"/>
                                  <a:tailEnd type="triangle" w="med" len="med"/>
                                </a:ln>
                              </wps:spPr>
                              <wps:bodyPr/>
                            </wps:wsp>
                            <wps:wsp>
                              <wps:cNvPr id="60" name="矩形 60"/>
                              <wps:cNvSpPr/>
                              <wps:spPr>
                                <a:xfrm>
                                  <a:off x="3969" y="4053"/>
                                  <a:ext cx="765" cy="468"/>
                                </a:xfrm>
                                <a:prstGeom prst="rect">
                                  <a:avLst/>
                                </a:prstGeom>
                                <a:noFill/>
                                <a:ln>
                                  <a:noFill/>
                                </a:ln>
                              </wps:spPr>
                              <wps:txbx>
                                <w:txbxContent>
                                  <w:p>
                                    <w:pPr>
                                      <w:jc w:val="center"/>
                                      <w:rPr>
                                        <w:szCs w:val="21"/>
                                      </w:rPr>
                                    </w:pPr>
                                    <w:r>
                                      <w:rPr>
                                        <w:rFonts w:hint="eastAsia"/>
                                        <w:szCs w:val="21"/>
                                      </w:rPr>
                                      <w:t>废水</w:t>
                                    </w:r>
                                  </w:p>
                                </w:txbxContent>
                              </wps:txbx>
                              <wps:bodyPr upright="1"/>
                            </wps:wsp>
                            <wps:wsp>
                              <wps:cNvPr id="61" name="直接连接符 61"/>
                              <wps:cNvCnPr/>
                              <wps:spPr>
                                <a:xfrm flipH="1">
                                  <a:off x="4707" y="2433"/>
                                  <a:ext cx="540" cy="1"/>
                                </a:xfrm>
                                <a:prstGeom prst="line">
                                  <a:avLst/>
                                </a:prstGeom>
                                <a:ln w="9525" cap="flat" cmpd="sng">
                                  <a:solidFill>
                                    <a:srgbClr val="000000"/>
                                  </a:solidFill>
                                  <a:prstDash val="dash"/>
                                  <a:headEnd type="none" w="med" len="med"/>
                                  <a:tailEnd type="triangle" w="med" len="med"/>
                                </a:ln>
                              </wps:spPr>
                              <wps:bodyPr/>
                            </wps:wsp>
                            <wps:wsp>
                              <wps:cNvPr id="62" name="矩形 62"/>
                              <wps:cNvSpPr/>
                              <wps:spPr>
                                <a:xfrm>
                                  <a:off x="3960" y="2211"/>
                                  <a:ext cx="765" cy="468"/>
                                </a:xfrm>
                                <a:prstGeom prst="rect">
                                  <a:avLst/>
                                </a:prstGeom>
                                <a:noFill/>
                                <a:ln>
                                  <a:noFill/>
                                </a:ln>
                              </wps:spPr>
                              <wps:txbx>
                                <w:txbxContent>
                                  <w:p>
                                    <w:pPr>
                                      <w:jc w:val="center"/>
                                      <w:rPr>
                                        <w:szCs w:val="21"/>
                                      </w:rPr>
                                    </w:pPr>
                                    <w:r>
                                      <w:rPr>
                                        <w:rFonts w:hint="eastAsia"/>
                                        <w:szCs w:val="21"/>
                                      </w:rPr>
                                      <w:t>噪声</w:t>
                                    </w:r>
                                  </w:p>
                                </w:txbxContent>
                              </wps:txbx>
                              <wps:bodyPr upright="1"/>
                            </wps:wsp>
                          </wpg:wgp>
                        </a:graphicData>
                      </a:graphic>
                    </wp:inline>
                  </w:drawing>
                </mc:Choice>
                <mc:Fallback>
                  <w:pict>
                    <v:group id="_x0000_s1026" o:spid="_x0000_s1026" o:spt="203" style="height:304.8pt;width:402.55pt;" coordorigin="-121,-10" coordsize="7501,6778" o:gfxdata="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">
                      <o:lock v:ext="edit" rotation="t" aspectratio="f"/>
                      <v:rect id="_x0000_s1026" o:spid="_x0000_s1026" o:spt="1" style="position:absolute;left:-10;top:-10;height:6718;width:7390;"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line id="_x0000_s1026" o:spid="_x0000_s1026" o:spt="20" style="position:absolute;left:2700;top:780;height:468;width:1;" filled="f" stroked="t" coordsize="21600,21600" o:gfxdata="UEsDBAoAAAAAAIdO4kAAAAAAAAAAAAAAAAAEAAAAZHJzL1BLAwQUAAAACACHTuJA5tzD8r4AAADa&#10;AAAADwAAAGRycy9kb3ducmV2LnhtbEWPT2vCQBTE74V+h+UVvNVNF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zD8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770;top:312;height:468;width:183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定位放线</w:t>
                              </w:r>
                            </w:p>
                          </w:txbxContent>
                        </v:textbox>
                      </v:rect>
                      <v:line id="_x0000_s1026" o:spid="_x0000_s1026" o:spt="20" style="position:absolute;left:1242;top:1470;flip:x;height:1;width:540;" filled="f" stroked="t" coordsize="21600,21600" o:gfxdata="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Llm+22AAAA2g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line id="_x0000_s1026" o:spid="_x0000_s1026" o:spt="20" style="position:absolute;left:2700;top:1716;height:468;width:1;"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785;top:1248;height:468;width:183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szCs w:val="21"/>
                                </w:rPr>
                              </w:pPr>
                              <w:r>
                                <w:rPr>
                                  <w:rFonts w:hint="eastAsia"/>
                                  <w:szCs w:val="21"/>
                                </w:rPr>
                                <w:t>清除障碍</w:t>
                              </w:r>
                            </w:p>
                          </w:txbxContent>
                        </v:textbox>
                      </v:rect>
                      <v:line id="_x0000_s1026" o:spid="_x0000_s1026" o:spt="20" style="position:absolute;left:2715;top:2652;height:468;width:1;"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800;top:2184;height:468;width:2043;"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表土剥离、保护</w:t>
                              </w:r>
                            </w:p>
                          </w:txbxContent>
                        </v:textbox>
                      </v:rect>
                      <v:line id="_x0000_s1026" o:spid="_x0000_s1026" o:spt="20" style="position:absolute;left:2715;top:3588;height:468;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1800;top:3120;height:468;width:183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Cs w:val="21"/>
                                </w:rPr>
                              </w:pPr>
                              <w:r>
                                <w:rPr>
                                  <w:rFonts w:hint="eastAsia"/>
                                  <w:szCs w:val="21"/>
                                </w:rPr>
                                <w:t>沟槽开挖</w:t>
                              </w:r>
                            </w:p>
                          </w:txbxContent>
                        </v:textbox>
                      </v:rect>
                      <v:line id="_x0000_s1026" o:spid="_x0000_s1026" o:spt="20" style="position:absolute;left:2715;top:4524;height:468;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800;top:4056;height:468;width:1830;"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Cs w:val="21"/>
                                </w:rPr>
                              </w:pPr>
                              <w:r>
                                <w:rPr>
                                  <w:rFonts w:hint="eastAsia"/>
                                  <w:szCs w:val="21"/>
                                </w:rPr>
                                <w:t>沟底夯实</w:t>
                              </w:r>
                            </w:p>
                          </w:txbxContent>
                        </v:textbox>
                      </v:rect>
                      <v:line id="_x0000_s1026" o:spid="_x0000_s1026" o:spt="20" style="position:absolute;left:2715;top:5460;height:468;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800;top:4992;height:468;width:183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Cs w:val="21"/>
                                </w:rPr>
                              </w:pPr>
                              <w:r>
                                <w:rPr>
                                  <w:rFonts w:hint="eastAsia"/>
                                  <w:szCs w:val="21"/>
                                </w:rPr>
                                <w:t>安装准备</w:t>
                              </w:r>
                            </w:p>
                          </w:txbxContent>
                        </v:textbox>
                      </v:rect>
                      <v:rect id="_x0000_s1026" o:spid="_x0000_s1026" o:spt="1" style="position:absolute;left:1620;top:5927;height:841;width:237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Cs w:val="21"/>
                                </w:rPr>
                              </w:pPr>
                              <w:r>
                                <w:rPr>
                                  <w:rFonts w:hint="eastAsia"/>
                                  <w:szCs w:val="21"/>
                                </w:rPr>
                                <w:t>清扫管膛、管件、就位</w:t>
                              </w:r>
                            </w:p>
                          </w:txbxContent>
                        </v:textbox>
                      </v:rect>
                      <v:rect id="_x0000_s1026" o:spid="_x0000_s1026" o:spt="1" style="position:absolute;left:5220;top:312;height:468;width:1830;"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运营使用</w:t>
                              </w:r>
                            </w:p>
                          </w:txbxContent>
                        </v:textbox>
                      </v:rect>
                      <v:line id="_x0000_s1026" o:spid="_x0000_s1026" o:spt="20" style="position:absolute;left:6150;top:780;height:468;width:1;" filled="f" stroked="t" coordsize="21600,21600" o:gfxdata="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wlrugAAANsA&#10;AAAPAAAAAAAAAAEAIAAAACIAAABkcnMvZG93bnJldi54bWxQSwECFAAUAAAACACHTuJAMy8FnjsA&#10;AAA5AAAAEAAAAAAAAAABACAAAAAJAQAAZHJzL3NoYXBleG1sLnhtbFBLBQYAAAAABgAGAFsBAACz&#10;AwAAAAA=&#10;">
                        <v:fill on="f" focussize="0,0"/>
                        <v:stroke color="#000000" joinstyle="round" startarrow="block"/>
                        <v:imagedata o:title=""/>
                        <o:lock v:ext="edit" aspectratio="f"/>
                      </v:line>
                      <v:line id="_x0000_s1026" o:spid="_x0000_s1026" o:spt="20" style="position:absolute;left:6165;top:1716;height:468;width:1;" filled="f" stroked="t" coordsize="21600,21600" o:gfxdata="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VrWpLtwAAANsAAAAP&#10;AAAAAAAAAAEAIAAAACIAAABkcnMvZG93bnJldi54bWxQSwECFAAUAAAACACHTuJAMy8FnjsAAAA5&#10;AAAAEAAAAAAAAAABACAAAAAGAQAAZHJzL3NoYXBleG1sLnhtbFBLBQYAAAAABgAGAFsBAACwAwAA&#10;AAA=&#10;">
                        <v:fill on="f" focussize="0,0"/>
                        <v:stroke color="#000000" joinstyle="round" startarrow="block"/>
                        <v:imagedata o:title=""/>
                        <o:lock v:ext="edit" aspectratio="f"/>
                      </v:line>
                      <v:rect id="_x0000_s1026" o:spid="_x0000_s1026" o:spt="1" style="position:absolute;left:5250;top:1248;height:468;width:183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竣工验收</w:t>
                              </w:r>
                            </w:p>
                          </w:txbxContent>
                        </v:textbox>
                      </v:rect>
                      <v:line id="_x0000_s1026" o:spid="_x0000_s1026" o:spt="20" style="position:absolute;left:6165;top:2652;height:468;width:1;" filled="f" stroked="t" coordsize="21600,21600" o:gfxdata="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zUae/&#10;AAAA2wAAAA8AAAAAAAAAAQAgAAAAIgAAAGRycy9kb3ducmV2LnhtbFBLAQIUABQAAAAIAIdO4kAz&#10;LwWeOwAAADkAAAAQAAAAAAAAAAEAIAAAAA4BAABkcnMvc2hhcGV4bWwueG1sUEsFBgAAAAAGAAYA&#10;WwEAALgDAAAAAA==&#10;">
                        <v:fill on="f" focussize="0,0"/>
                        <v:stroke color="#000000" joinstyle="round" startarrow="block"/>
                        <v:imagedata o:title=""/>
                        <o:lock v:ext="edit" aspectratio="f"/>
                      </v:line>
                      <v:rect id="_x0000_s1026" o:spid="_x0000_s1026" o:spt="1" style="position:absolute;left:5250;top:2184;height:468;width:1830;"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管沟夯填</w:t>
                              </w:r>
                            </w:p>
                          </w:txbxContent>
                        </v:textbox>
                      </v:rect>
                      <v:line id="_x0000_s1026" o:spid="_x0000_s1026" o:spt="20" style="position:absolute;left:6165;top:3588;height:468;width:1;" filled="f" stroked="t" coordsize="21600,21600" o:gfxdata="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ZsS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rect id="_x0000_s1026" o:spid="_x0000_s1026" o:spt="1" style="position:absolute;left:5250;top:3120;height:468;width:183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阀门安装</w:t>
                              </w:r>
                            </w:p>
                          </w:txbxContent>
                        </v:textbox>
                      </v:rect>
                      <v:line id="_x0000_s1026" o:spid="_x0000_s1026" o:spt="20" style="position:absolute;left:6165;top:4524;height:468;width:1;" filled="f" stroked="t" coordsize="21600,21600" o:gfxdata="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Xp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rect id="_x0000_s1026" o:spid="_x0000_s1026" o:spt="1" style="position:absolute;left:5250;top:4056;height:468;width:1959;"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管道检验与试压</w:t>
                              </w:r>
                            </w:p>
                          </w:txbxContent>
                        </v:textbox>
                      </v:rect>
                      <v:rect id="_x0000_s1026" o:spid="_x0000_s1026" o:spt="1" style="position:absolute;left:5250;top:4992;height:468;width:1830;"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szCs w:val="21"/>
                                </w:rPr>
                              </w:pPr>
                              <w:r>
                                <w:rPr>
                                  <w:rFonts w:hint="eastAsia"/>
                                  <w:szCs w:val="21"/>
                                </w:rPr>
                                <w:t>管道联接</w:t>
                              </w:r>
                            </w:p>
                          </w:txbxContent>
                        </v:textbox>
                      </v:rect>
                      <v:shape id="_x0000_s1026" o:spid="_x0000_s1026" o:spt="33" type="#_x0000_t33" style="position:absolute;left:3990;top:5460;flip:y;height:887;width:2176;" filled="f" stroked="t" coordsize="21600,21600" o:gfxdata="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Jfey/&#10;AAAA2wAAAA8AAAAAAAAAAQAgAAAAIgAAAGRycy9kb3ducmV2LnhtbFBLAQIUABQAAAAIAIdO4kAz&#10;LwWeOwAAADkAAAAQAAAAAAAAAAEAIAAAAA4BAABkcnMvc2hhcGV4bWwueG1sUEsFBgAAAAAGAAYA&#10;WwEAALgDAAAAAA==&#10;">
                        <v:fill on="f" focussize="0,0"/>
                        <v:stroke color="#000000" joinstyle="miter" endarrow="block"/>
                        <v:imagedata o:title=""/>
                        <o:lock v:ext="edit" aspectratio="f"/>
                      </v:shape>
                      <v:line id="_x0000_s1026" o:spid="_x0000_s1026" o:spt="20" style="position:absolute;left:1260;top:2394;flip:x;height:1;width:540;" filled="f" stroked="t" coordsize="21600,21600" o:gfxdata="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h8ZlK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rect id="_x0000_s1026" o:spid="_x0000_s1026" o:spt="1" style="position:absolute;left:0;top:1248;height:496;width:1260;" filled="f" stroked="f" coordsize="21600,21600" o:gfxdata="UEsDBAoAAAAAAIdO4kAAAAAAAAAAAAAAAAAEAAAAZHJzL1BLAwQUAAAACACHTuJANMZd670AAADb&#10;AAAADwAAAGRycy9kb3ducmV2LnhtbEWPQYvCMBSE78L+h/AWvMiadgW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l3r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噪声</w:t>
                              </w:r>
                            </w:p>
                          </w:txbxContent>
                        </v:textbox>
                      </v:rect>
                      <v:rect id="_x0000_s1026" o:spid="_x0000_s1026" o:spt="1" style="position:absolute;left:0;top:2184;height:856;width:1260;" filled="f" stroked="f" coordsize="21600,21600" o:gfxdata="UEsDBAoAAAAAAIdO4kAAAAAAAAAAAAAAAAAEAAAAZHJzL1BLAwQUAAAACACHTuJAxBTDnL0AAADb&#10;AAAADwAAAGRycy9kb3ducmV2LnhtbEWPQYvCMBSE7wv+h/CEvSya6oJ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MO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噪声、扬尘</w:t>
                              </w:r>
                            </w:p>
                            <w:p>
                              <w:pPr>
                                <w:jc w:val="center"/>
                                <w:rPr>
                                  <w:szCs w:val="21"/>
                                </w:rPr>
                              </w:pPr>
                            </w:p>
                          </w:txbxContent>
                        </v:textbox>
                      </v:rect>
                      <v:line id="_x0000_s1026" o:spid="_x0000_s1026" o:spt="20" style="position:absolute;left:1251;top:3369;flip:x;height:1;width:540;" filled="f" stroked="t" coordsize="21600,21600" o:gfxdata="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MHPb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rect id="_x0000_s1026" o:spid="_x0000_s1026" o:spt="1" style="position:absolute;left:-121;top:3120;height:1012;width:1381;" filled="f" stroked="f" coordsize="21600,21600" o:gfxdata="UEsDBAoAAAAAAIdO4kAAAAAAAAAAAAAAAAAEAAAAZHJzL1BLAwQUAAAACACHTuJAJLH+c74AAADb&#10;AAAADwAAAGRycy9kb3ducmV2LnhtbEWPQWvCQBSE7wX/w/KEXopuYou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H+c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噪声、扬尘</w:t>
                              </w:r>
                            </w:p>
                            <w:p>
                              <w:pPr>
                                <w:jc w:val="center"/>
                                <w:rPr>
                                  <w:szCs w:val="21"/>
                                </w:rPr>
                              </w:pPr>
                              <w:r>
                                <w:rPr>
                                  <w:rFonts w:hint="eastAsia"/>
                                  <w:szCs w:val="21"/>
                                </w:rPr>
                                <w:t>弃土</w:t>
                              </w:r>
                            </w:p>
                          </w:txbxContent>
                        </v:textbox>
                      </v:rect>
                      <v:line id="_x0000_s1026" o:spid="_x0000_s1026" o:spt="20" style="position:absolute;left:1260;top:4287;flip:x;height:1;width:540;" filled="f" stroked="t" coordsize="21600,21600" o:gfxdata="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GOtK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rect id="_x0000_s1026" o:spid="_x0000_s1026" o:spt="1" style="position:absolute;left:18;top:4065;height:468;width:1260;" filled="f" stroked="f" coordsize="21600,21600" o:gfxdata="UEsDBAoAAAAAAIdO4kAAAAAAAAAAAAAAAAAEAAAAZHJzL1BLAwQUAAAACACHTuJAuy/Fn70AAADb&#10;AAAADwAAAGRycy9kb3ducmV2LnhtbEWPQYvCMBSE78L+h/AWvMiaqiB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L8Wf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噪声</w:t>
                              </w:r>
                            </w:p>
                          </w:txbxContent>
                        </v:textbox>
                      </v:rect>
                      <v:line id="_x0000_s1026" o:spid="_x0000_s1026" o:spt="20" style="position:absolute;left:1260;top:5211;flip:x;height:1;width:540;" filled="f" stroked="t" coordsize="21600,21600" o:gfxdata="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GAE+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_x0000_s1026" o:spid="_x0000_s1026" o:spt="1" style="position:absolute;left:18;top:4989;height:468;width:1260;" filled="f" stroked="f" coordsize="21600,21600" o:gfxdata="UEsDBAoAAAAAAIdO4kAAAAAAAAAAAAAAAAAEAAAAZHJzL1BLAwQUAAAACACHTuJApfz0drsAAADb&#10;AAAADwAAAGRycy9kb3ducmV2LnhtbEVPTWvCQBC9C/6HZYReRDdpQU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z0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Cs w:val="21"/>
                                </w:rPr>
                              </w:pPr>
                              <w:r>
                                <w:rPr>
                                  <w:rFonts w:hint="eastAsia"/>
                                  <w:szCs w:val="21"/>
                                </w:rPr>
                                <w:t>噪声</w:t>
                              </w:r>
                            </w:p>
                          </w:txbxContent>
                        </v:textbox>
                      </v:rect>
                      <v:rect id="_x0000_s1026" o:spid="_x0000_s1026" o:spt="1" style="position:absolute;left:277;top:5928;height:468;width:882;"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szCs w:val="21"/>
                                </w:rPr>
                              </w:pPr>
                              <w:r>
                                <w:rPr>
                                  <w:rFonts w:hint="eastAsia"/>
                                  <w:szCs w:val="21"/>
                                </w:rPr>
                                <w:t>噪声</w:t>
                              </w:r>
                            </w:p>
                          </w:txbxContent>
                        </v:textbox>
                      </v:rect>
                      <v:line id="_x0000_s1026" o:spid="_x0000_s1026" o:spt="20" style="position:absolute;left:4707;top:3342;flip:x;height:1;width:540;" filled="f" stroked="t" coordsize="21600,21600" o:gfxdata="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n36je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rect id="_x0000_s1026" o:spid="_x0000_s1026" o:spt="1" style="position:absolute;left:3960;top:3120;height:468;width:765;" filled="f" stroked="f" coordsize="21600,21600" o:gfxdata="UEsDBAoAAAAAAIdO4kAAAAAAAAAAAAAAAAAEAAAAZHJzL1BLAwQUAAAACACHTuJAbMAulr0AAADb&#10;AAAADwAAAGRycy9kb3ducmV2LnhtbEWPQYvCMBSE78L+h/AWvMiadh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C6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szCs w:val="21"/>
                                </w:rPr>
                              </w:pPr>
                              <w:r>
                                <w:rPr>
                                  <w:rFonts w:hint="eastAsia"/>
                                  <w:szCs w:val="21"/>
                                </w:rPr>
                                <w:t>噪声</w:t>
                              </w:r>
                            </w:p>
                          </w:txbxContent>
                        </v:textbox>
                      </v:rect>
                      <v:line id="_x0000_s1026" o:spid="_x0000_s1026" o:spt="20" style="position:absolute;left:1064;top:6150;flip:x;height:1;width:540;" filled="f" stroked="t" coordsize="21600,21600" o:gfxdata="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Zp0du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line>
                      <v:line id="_x0000_s1026" o:spid="_x0000_s1026" o:spt="20" style="position:absolute;left:4716;top:4275;flip:x;height:1;width:540;" filled="f" stroked="t" coordsize="21600,21600" o:gfxdata="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JXRA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rect id="_x0000_s1026" o:spid="_x0000_s1026" o:spt="1" style="position:absolute;left:3969;top:4053;height:468;width:765;" filled="f" stroked="f" coordsize="21600,21600" o:gfxdata="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nXb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Cs w:val="21"/>
                                </w:rPr>
                              </w:pPr>
                              <w:r>
                                <w:rPr>
                                  <w:rFonts w:hint="eastAsia"/>
                                  <w:szCs w:val="21"/>
                                </w:rPr>
                                <w:t>废水</w:t>
                              </w:r>
                            </w:p>
                          </w:txbxContent>
                        </v:textbox>
                      </v:rect>
                      <v:line id="_x0000_s1026" o:spid="_x0000_s1026" o:spt="20" style="position:absolute;left:4707;top:2433;flip:x;height:1;width:540;" filled="f" stroked="t" coordsize="21600,21600" o:gfxdata="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4TzL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rect id="_x0000_s1026" o:spid="_x0000_s1026" o:spt="1" style="position:absolute;left:3960;top:2211;height:468;width:765;" filled="f" stroked="f" coordsize="21600,21600" o:gfxdata="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n7I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szCs w:val="21"/>
                                </w:rPr>
                              </w:pPr>
                              <w:r>
                                <w:rPr>
                                  <w:rFonts w:hint="eastAsia"/>
                                  <w:szCs w:val="21"/>
                                </w:rPr>
                                <w:t>噪声</w:t>
                              </w:r>
                            </w:p>
                          </w:txbxContent>
                        </v:textbox>
                      </v:rect>
                      <w10:wrap type="none"/>
                      <w10:anchorlock/>
                    </v:group>
                  </w:pict>
                </mc:Fallback>
              </mc:AlternateContent>
            </w:r>
          </w:p>
          <w:p>
            <w:pPr>
              <w:pStyle w:val="11"/>
              <w:spacing w:line="360" w:lineRule="auto"/>
              <w:jc w:val="center"/>
              <w:rPr>
                <w:rFonts w:hint="default" w:ascii="Times New Roman" w:hAnsi="Times New Roman"/>
                <w:sz w:val="24"/>
              </w:rPr>
            </w:pPr>
            <w:r>
              <w:rPr>
                <w:rFonts w:hint="default" w:ascii="Times New Roman" w:hAnsi="Times New Roman"/>
                <w:b/>
                <w:bCs/>
                <w:szCs w:val="21"/>
              </w:rPr>
              <w:t>图2     施工流程图</w:t>
            </w:r>
          </w:p>
          <w:p>
            <w:pPr>
              <w:pStyle w:val="11"/>
              <w:spacing w:line="360" w:lineRule="auto"/>
              <w:ind w:firstLine="482" w:firstLineChars="200"/>
              <w:rPr>
                <w:rFonts w:hint="default" w:ascii="Times New Roman" w:hAnsi="Times New Roman"/>
                <w:b/>
                <w:bCs/>
                <w:sz w:val="24"/>
              </w:rPr>
            </w:pPr>
            <w:r>
              <w:rPr>
                <w:rFonts w:hint="default" w:ascii="Times New Roman" w:hAnsi="Times New Roman"/>
                <w:b/>
                <w:bCs/>
                <w:sz w:val="24"/>
              </w:rPr>
              <w:t>（2）施工时序</w:t>
            </w:r>
          </w:p>
          <w:p>
            <w:pPr>
              <w:pStyle w:val="29"/>
              <w:adjustRightInd/>
              <w:snapToGrid/>
              <w:spacing w:after="0" w:line="360" w:lineRule="auto"/>
              <w:ind w:firstLine="482" w:firstLineChars="200"/>
              <w:jc w:val="both"/>
              <w:rPr>
                <w:rFonts w:eastAsia="宋体"/>
                <w:b/>
                <w:bCs/>
                <w:sz w:val="24"/>
                <w:szCs w:val="24"/>
              </w:rPr>
            </w:pPr>
            <w:r>
              <w:rPr>
                <w:rFonts w:eastAsia="宋体"/>
                <w:b/>
                <w:bCs/>
                <w:sz w:val="24"/>
                <w:szCs w:val="24"/>
              </w:rPr>
              <w:t>1）管沟开挖</w:t>
            </w:r>
          </w:p>
          <w:p>
            <w:pPr>
              <w:spacing w:line="360" w:lineRule="auto"/>
              <w:ind w:firstLine="480" w:firstLineChars="200"/>
            </w:pPr>
            <w:r>
              <w:t>本项目管道均采用沟埋敷设，采用机械开挖、人工开挖和钻孔开挖（采用钢筋混凝土套管）方式。</w:t>
            </w:r>
          </w:p>
          <w:p>
            <w:pPr>
              <w:spacing w:line="360" w:lineRule="auto"/>
              <w:ind w:firstLine="460" w:firstLineChars="200"/>
              <w:rPr>
                <w:rFonts w:eastAsia="Times New Roman"/>
              </w:rPr>
            </w:pPr>
            <w:r>
              <w:rPr>
                <w:sz w:val="23"/>
                <w:szCs w:val="23"/>
              </w:rPr>
              <w:t>① 管道施工占地宽度控制在</w:t>
            </w:r>
            <w:r>
              <w:rPr>
                <w:rFonts w:eastAsia="Times New Roman"/>
                <w:sz w:val="23"/>
                <w:szCs w:val="23"/>
              </w:rPr>
              <w:t>12m</w:t>
            </w:r>
            <w:r>
              <w:rPr>
                <w:sz w:val="23"/>
                <w:szCs w:val="23"/>
              </w:rPr>
              <w:t>以内，在确保安全施工前提下，挖方段作业面宽度可适当减少，堆土侧，布管侧由施工单位视情况确定位置；</w:t>
            </w:r>
            <w:r>
              <w:t xml:space="preserve">② </w:t>
            </w:r>
            <w:r>
              <w:rPr>
                <w:rFonts w:eastAsia="Times New Roman"/>
              </w:rPr>
              <w:t>施工前应根据占地宽度进行扫线，按设计标高修整管道沿线地面，地形起伏较大地段扫线按纵断面图进行，一般地段扫线按施工正常要求±30cm内清理杂物扫平地面，在扫线平整中，凡有填土部分，应分层压实，确保管床稳定</w:t>
            </w:r>
            <w:r>
              <w:t xml:space="preserve">；③ </w:t>
            </w:r>
            <w:r>
              <w:rPr>
                <w:rFonts w:eastAsia="Times New Roman"/>
              </w:rPr>
              <w:t>管沟开挖尺寸根据不同地段及土质情况调整，管沟边坡比根据施工季节及管道实际开挖情况调整。管沟应无突出、沟底应平缓，管沟放坡符合设计坡度要求，确保管道下沟后不悬空</w:t>
            </w:r>
            <w:r>
              <w:t xml:space="preserve">；④ </w:t>
            </w:r>
            <w:r>
              <w:rPr>
                <w:rFonts w:eastAsia="Times New Roman"/>
              </w:rPr>
              <w:t>管沟开挖施工扫线前，应先将测量放线控制桩置于扫线作业带外，并应妥善保管，以便复核控制设计标高</w:t>
            </w:r>
            <w:r>
              <w:t xml:space="preserve">；⑤ </w:t>
            </w:r>
            <w:r>
              <w:rPr>
                <w:rFonts w:eastAsia="Times New Roman"/>
              </w:rPr>
              <w:t>对可能造成危害其它构造物的特殊地段，以及管线经过公路、光缆等构筑物时应与当地管理部门协调，并应指定专人配合施工</w:t>
            </w:r>
            <w:r>
              <w:t xml:space="preserve">；⑥ </w:t>
            </w:r>
            <w:r>
              <w:rPr>
                <w:rFonts w:eastAsia="Times New Roman"/>
              </w:rPr>
              <w:t>管沟开挖后，应及时检查验收，不符合要求者应及时修整，直至合格后方可验收，进行下道工序，验收时</w:t>
            </w:r>
            <w:r>
              <w:rPr>
                <w:rFonts w:hint="eastAsia" w:eastAsia="宋体"/>
                <w:lang w:eastAsia="zh-CN"/>
              </w:rPr>
              <w:t>应</w:t>
            </w:r>
            <w:r>
              <w:rPr>
                <w:rFonts w:eastAsia="Times New Roman"/>
              </w:rPr>
              <w:t>做竣工测量验收记录，及时办理交接手续。</w:t>
            </w:r>
          </w:p>
          <w:p>
            <w:pPr>
              <w:pStyle w:val="29"/>
              <w:keepNext w:val="0"/>
              <w:keepLines w:val="0"/>
              <w:pageBreakBefore w:val="0"/>
              <w:widowControl/>
              <w:kinsoku/>
              <w:wordWrap/>
              <w:overflowPunct/>
              <w:topLinePunct w:val="0"/>
              <w:autoSpaceDE/>
              <w:autoSpaceDN/>
              <w:bidi w:val="0"/>
              <w:adjustRightInd w:val="0"/>
              <w:snapToGrid w:val="0"/>
              <w:ind w:firstLine="482" w:firstLineChars="200"/>
              <w:jc w:val="both"/>
              <w:textAlignment w:val="auto"/>
              <w:rPr>
                <w:rFonts w:eastAsia="宋体"/>
                <w:b/>
                <w:bCs/>
                <w:sz w:val="24"/>
                <w:szCs w:val="24"/>
              </w:rPr>
            </w:pPr>
            <w:r>
              <w:rPr>
                <w:rFonts w:eastAsia="宋体"/>
                <w:b/>
                <w:bCs/>
                <w:kern w:val="2"/>
                <w:sz w:val="24"/>
                <w:szCs w:val="24"/>
              </w:rPr>
              <w:t>2</w:t>
            </w:r>
            <w:r>
              <w:rPr>
                <w:rFonts w:hint="eastAsia" w:eastAsia="宋体"/>
                <w:b/>
                <w:bCs/>
                <w:kern w:val="2"/>
                <w:sz w:val="24"/>
                <w:szCs w:val="24"/>
                <w:lang w:eastAsia="zh-CN"/>
              </w:rPr>
              <w:t>）</w:t>
            </w:r>
            <w:r>
              <w:rPr>
                <w:rFonts w:eastAsia="宋体"/>
                <w:b/>
                <w:bCs/>
                <w:sz w:val="24"/>
                <w:szCs w:val="24"/>
              </w:rPr>
              <w:t>管道下沟及回填</w:t>
            </w:r>
          </w:p>
          <w:p>
            <w:pPr>
              <w:spacing w:line="360" w:lineRule="auto"/>
              <w:ind w:firstLine="480" w:firstLineChars="200"/>
            </w:pPr>
            <w:r>
              <w:t>本项目管道均采用沟埋敷设，采用机械回填配合人工的回填方式，采取直接回填法和压实回填法。</w:t>
            </w:r>
          </w:p>
          <w:p>
            <w:pPr>
              <w:spacing w:line="360" w:lineRule="auto"/>
              <w:ind w:firstLine="480" w:firstLineChars="200"/>
              <w:rPr>
                <w:rFonts w:eastAsia="Times New Roman"/>
              </w:rPr>
            </w:pPr>
            <w:r>
              <w:t>① 管道下沟前，应将沟内平整清除干净，检查断面符合纵断面图和横断面图的要求；② 管道下沟前，管道焊缝和保温防腐层检查合格；③ 组装完毕的管道应及时进行下沟埋管，以1.5～2km 管段为一次下沟工作量；④ 管道下沟起吊必须用专用吊具，吊管机不少于2台，钢管吊管间距不大于8m，起吊高度1m，轻放至管沟内，严防损伤防腐层；⑤ 管沟下沟后回填前，应认真检查管道标高，管道防腐层，阴极保护则两引线连接是否符合设计要求。管道</w:t>
            </w:r>
            <w:r>
              <w:rPr>
                <w:rFonts w:hint="eastAsia"/>
                <w:lang w:eastAsia="zh-CN"/>
              </w:rPr>
              <w:t>应</w:t>
            </w:r>
            <w:r>
              <w:t>妥帖</w:t>
            </w:r>
            <w:r>
              <w:rPr>
                <w:rFonts w:hint="eastAsia"/>
                <w:lang w:eastAsia="zh-CN"/>
              </w:rPr>
              <w:t>放置于</w:t>
            </w:r>
            <w:r>
              <w:t>管沟内，不得有悬空现象，再次检查防腐层并经高压电火花检漏合格，合格后方可进行回填；⑥ 管沟回填时应先用细土填至管顶300mm以上，细土粒径R≤8mm，之后用原土回填。</w:t>
            </w:r>
          </w:p>
          <w:p>
            <w:pPr>
              <w:pStyle w:val="29"/>
              <w:keepNext w:val="0"/>
              <w:keepLines w:val="0"/>
              <w:pageBreakBefore w:val="0"/>
              <w:widowControl/>
              <w:kinsoku/>
              <w:wordWrap/>
              <w:overflowPunct/>
              <w:topLinePunct w:val="0"/>
              <w:autoSpaceDE/>
              <w:autoSpaceDN/>
              <w:bidi w:val="0"/>
              <w:adjustRightInd/>
              <w:snapToGrid/>
              <w:spacing w:after="0" w:line="360" w:lineRule="auto"/>
              <w:ind w:firstLine="482" w:firstLineChars="200"/>
              <w:jc w:val="both"/>
              <w:textAlignment w:val="auto"/>
              <w:rPr>
                <w:rFonts w:eastAsia="宋体"/>
                <w:b/>
                <w:bCs/>
                <w:sz w:val="24"/>
                <w:szCs w:val="24"/>
              </w:rPr>
            </w:pPr>
            <w:r>
              <w:rPr>
                <w:rFonts w:hint="eastAsia" w:eastAsia="宋体"/>
                <w:b/>
                <w:bCs/>
                <w:sz w:val="24"/>
                <w:szCs w:val="24"/>
                <w:lang w:val="en-US" w:eastAsia="zh-CN"/>
              </w:rPr>
              <w:t>3）</w:t>
            </w:r>
            <w:r>
              <w:rPr>
                <w:rFonts w:eastAsia="宋体"/>
                <w:b/>
                <w:bCs/>
                <w:sz w:val="24"/>
                <w:szCs w:val="24"/>
              </w:rPr>
              <w:t>管道清管及试压</w:t>
            </w:r>
          </w:p>
          <w:p>
            <w:pPr>
              <w:spacing w:line="360" w:lineRule="auto"/>
              <w:ind w:firstLine="480" w:firstLineChars="200"/>
            </w:pPr>
            <w:r>
              <w:t>管道施工完成后，应采用清管球（器）进行清管,清管介质应用空气。清管次数不应少于2次，以开口端不再排出杂物为合格。</w:t>
            </w:r>
          </w:p>
          <w:p>
            <w:pPr>
              <w:spacing w:line="360" w:lineRule="auto"/>
              <w:ind w:firstLine="480" w:firstLineChars="200"/>
            </w:pPr>
            <w:r>
              <w:t>试压介质：输气管道强度及严密性试验介质均采用洁净水。</w:t>
            </w:r>
          </w:p>
          <w:p>
            <w:pPr>
              <w:spacing w:line="360" w:lineRule="auto"/>
              <w:ind w:firstLine="480" w:firstLineChars="200"/>
              <w:rPr>
                <w:b/>
                <w:bCs/>
              </w:rPr>
            </w:pPr>
            <w:r>
              <w:t>试验压力：工程输气管道的设计压力为4.0Mpa，管道强度试验压力为6Mpa；持续稳压时间不得小于4h，无变形、无泄漏为合格；严密性试验应在强度试验合格后进行，严密性试验压力为4Mpa，稳压时间24h不泄漏为合格（压降不大于1%试验压力值，且不大于0.1MPa）。试压时的压力表不应少于2块，并应分别安装在试压管段的两端，试压过程中，各项操作应执行《油气长输管道工程施工及验收规范》（GB50369-2014）的相关规定。试压宜在环境温度5℃以上进行。试压合格后，应将</w:t>
            </w:r>
            <w:r>
              <w:rPr>
                <w:rFonts w:hint="eastAsia"/>
                <w:lang w:eastAsia="zh-CN"/>
              </w:rPr>
              <w:t>管道</w:t>
            </w:r>
            <w:r>
              <w:t>内积水清扫干净,清扫出的污物应排放到规定区域,清扫应以不再排出游离水为合格。</w:t>
            </w:r>
          </w:p>
          <w:p>
            <w:pPr>
              <w:spacing w:line="360" w:lineRule="auto"/>
              <w:ind w:firstLine="482" w:firstLineChars="200"/>
              <w:rPr>
                <w:b/>
                <w:bCs/>
              </w:rPr>
            </w:pPr>
            <w:r>
              <w:rPr>
                <w:b/>
                <w:bCs/>
              </w:rPr>
              <w:t>（3）建设周期</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本工程建设期为45天。</w:t>
            </w:r>
          </w:p>
          <w:p>
            <w:pPr>
              <w:spacing w:line="360" w:lineRule="auto"/>
              <w:ind w:firstLine="482" w:firstLineChars="200"/>
              <w:rPr>
                <w:b/>
                <w:bCs/>
              </w:rPr>
            </w:pPr>
            <w:r>
              <w:rPr>
                <w:b/>
                <w:bCs/>
              </w:rPr>
              <w:t>（4）施工环境</w:t>
            </w:r>
          </w:p>
          <w:p>
            <w:pPr>
              <w:spacing w:line="360" w:lineRule="auto"/>
              <w:ind w:firstLine="480" w:firstLineChars="200"/>
            </w:pPr>
            <w:r>
              <w:t>1）地形地貌</w:t>
            </w:r>
          </w:p>
          <w:p>
            <w:pPr>
              <w:spacing w:line="360" w:lineRule="auto"/>
              <w:ind w:firstLine="480" w:firstLineChars="200"/>
            </w:pPr>
            <w:r>
              <w:t>管线地貌单元单一，场地地貌上属冲洪积，管道起终点地面高差较大，场地内及附近无岩溶、泥石流、震陷、崩塌、滑坡、地震断层等不良地质作用和地质灾害。</w:t>
            </w:r>
          </w:p>
          <w:p>
            <w:pPr>
              <w:spacing w:line="360" w:lineRule="auto"/>
              <w:ind w:firstLine="480" w:firstLineChars="200"/>
            </w:pPr>
            <w:r>
              <w:t>2）地层条件</w:t>
            </w:r>
          </w:p>
          <w:p>
            <w:pPr>
              <w:spacing w:line="360" w:lineRule="auto"/>
              <w:ind w:firstLine="480" w:firstLineChars="200"/>
            </w:pPr>
            <w:r>
              <w:t>拟建管道沿线地层自上而下共可分为两个主层，各土层的岩性特征如下：</w:t>
            </w:r>
          </w:p>
          <w:p>
            <w:pPr>
              <w:spacing w:line="360" w:lineRule="auto"/>
              <w:ind w:firstLine="480" w:firstLineChars="200"/>
            </w:pPr>
            <w:r>
              <w:t>①杂填土：层厚为0.60-1.80m，层底深度为0.60-1.80m，以砾石为主，局部含碎砖、碎砼等建筑生活垃圾以及植物根茎，严禁作为管道基础持力层，应予以挖除。</w:t>
            </w:r>
          </w:p>
          <w:p>
            <w:pPr>
              <w:spacing w:line="360" w:lineRule="auto"/>
              <w:ind w:firstLine="480" w:firstLineChars="200"/>
            </w:pPr>
            <w:r>
              <w:t>②卵石(Q4)：层厚为6.20-9.40m，层底深度为大于 10.00m，杂色，稍密～中密～密实，卵石主要由石英岩、灰岩等硬质岩石组成；亚圆形；弱风化；砾径在2.5×4.0cm左右，含量约占70%左右，可见最大砾径30×20cm，砾石含量在15%左右，充填物主要为中细砂，含量约占15%左右；该层土级配良好，分选性差。</w:t>
            </w:r>
          </w:p>
          <w:p>
            <w:pPr>
              <w:spacing w:line="360" w:lineRule="auto"/>
              <w:ind w:firstLine="480" w:firstLineChars="200"/>
            </w:pPr>
            <w:r>
              <w:t>3）地下水</w:t>
            </w:r>
          </w:p>
          <w:p>
            <w:pPr>
              <w:spacing w:line="360" w:lineRule="auto"/>
              <w:ind w:firstLine="480" w:firstLineChars="200"/>
            </w:pPr>
            <w:r>
              <w:t>根据地勘报告，本次勘察工作中，各勘探孔均未揭穿至地下水位。由于地下水埋藏深度较大，设计和施工时可不考虑地下水对拟建管线管基的影响。</w:t>
            </w:r>
          </w:p>
          <w:p>
            <w:pPr>
              <w:spacing w:line="360" w:lineRule="auto"/>
              <w:ind w:firstLine="480" w:firstLineChars="200"/>
            </w:pPr>
            <w:r>
              <w:t>4）场地类别、地震效应</w:t>
            </w:r>
          </w:p>
          <w:p>
            <w:pPr>
              <w:spacing w:line="360" w:lineRule="auto"/>
              <w:ind w:firstLine="480" w:firstLineChars="200"/>
            </w:pPr>
            <w:r>
              <w:t>根据地勘报告该场地位于喀什市境内，据《中国地震动参数区划图》（GB18306-2015）和《建筑抗震设计规范》（GB 50011-2010）（2016年版）划分，工程区内的抗震设防烈度为Ⅷ度，设计基本地震加速度值为0.30g，设计地震分组为第三组。</w:t>
            </w:r>
          </w:p>
          <w:p>
            <w:pPr>
              <w:spacing w:line="360" w:lineRule="auto"/>
              <w:ind w:firstLine="480" w:firstLineChars="200"/>
            </w:pPr>
            <w:r>
              <w:t>根据《建筑抗震设计规范》（GB50011-2010），本工程从场地土性质和岩土状态判定，拟建工程场地土类型属中硬场地土，场地类别为Ⅱ类。</w:t>
            </w:r>
          </w:p>
          <w:p>
            <w:pPr>
              <w:spacing w:line="360" w:lineRule="auto"/>
              <w:ind w:firstLine="480" w:firstLineChars="200"/>
            </w:pPr>
            <w:r>
              <w:t>5）场地稳定性和适宜性</w:t>
            </w:r>
          </w:p>
          <w:p>
            <w:pPr>
              <w:spacing w:line="360" w:lineRule="auto"/>
              <w:ind w:firstLine="480" w:firstLineChars="200"/>
            </w:pPr>
            <w:r>
              <w:t>据区域地质资料，拟建管道及其附近无全新世活动断裂通过，不必考虑活动断裂的影响。管线及其附近无人为地下工程和大面积开采地下水的活动，不会产生地面塌陷、地裂缝的灾害；沿线及其附近没有滑坡、泥石流、崩塌等不良地质现象。</w:t>
            </w:r>
          </w:p>
          <w:p>
            <w:pPr>
              <w:spacing w:line="360" w:lineRule="auto"/>
              <w:ind w:firstLine="480" w:firstLineChars="200"/>
            </w:pPr>
            <w:r>
              <w:t>拟建管道沿线区域稳定性总体较好，另外沿线各岩土层分布较为稳定，场地适宜拟建管道建设。</w:t>
            </w:r>
          </w:p>
          <w:p>
            <w:pPr>
              <w:pStyle w:val="11"/>
              <w:spacing w:line="360" w:lineRule="auto"/>
              <w:rPr>
                <w:rFonts w:hint="default" w:ascii="Times New Roman" w:hAnsi="Times New Roman"/>
                <w:b/>
                <w:bCs/>
                <w:sz w:val="24"/>
              </w:rPr>
            </w:pPr>
            <w:r>
              <w:rPr>
                <w:rFonts w:hint="default" w:ascii="Times New Roman" w:hAnsi="Times New Roman"/>
                <w:b/>
                <w:bCs/>
                <w:sz w:val="24"/>
              </w:rPr>
              <w:t>2、</w:t>
            </w:r>
            <w:r>
              <w:rPr>
                <w:rFonts w:hint="default" w:ascii="Times New Roman" w:hAnsi="Times New Roman"/>
                <w:b/>
                <w:bCs/>
                <w:spacing w:val="7"/>
                <w:sz w:val="24"/>
              </w:rPr>
              <w:t>航空货运区项目工艺流程</w:t>
            </w:r>
          </w:p>
          <w:p>
            <w:pPr>
              <w:pStyle w:val="11"/>
              <w:spacing w:line="360" w:lineRule="auto"/>
              <w:ind w:firstLine="482" w:firstLineChars="200"/>
              <w:rPr>
                <w:rFonts w:hint="default" w:ascii="Times New Roman" w:hAnsi="Times New Roman"/>
                <w:b/>
                <w:bCs/>
                <w:sz w:val="24"/>
              </w:rPr>
            </w:pPr>
            <w:r>
              <w:rPr>
                <w:rFonts w:hint="default" w:ascii="Times New Roman" w:hAnsi="Times New Roman"/>
                <w:b/>
                <w:bCs/>
                <w:sz w:val="24"/>
              </w:rPr>
              <w:t>（1）施工期工艺流程及产污环节</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施工流程及各阶段主要污染物产生情况见图 3。</w:t>
            </w:r>
          </w:p>
          <w:p>
            <w:pPr>
              <w:pStyle w:val="11"/>
              <w:spacing w:line="360" w:lineRule="auto"/>
              <w:rPr>
                <w:rFonts w:hint="default" w:ascii="Times New Roman" w:hAnsi="Times New Roman"/>
                <w:sz w:val="24"/>
              </w:rPr>
            </w:pPr>
            <w:r>
              <w:rPr>
                <w:rFonts w:hint="default" w:ascii="Times New Roman" w:hAnsi="Times New Roman"/>
              </w:rPr>
              <w:drawing>
                <wp:inline distT="0" distB="0" distL="114300" distR="114300">
                  <wp:extent cx="5027930" cy="1537970"/>
                  <wp:effectExtent l="0" t="0" r="1270" b="508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6"/>
                          <a:stretch>
                            <a:fillRect/>
                          </a:stretch>
                        </pic:blipFill>
                        <pic:spPr>
                          <a:xfrm>
                            <a:off x="0" y="0"/>
                            <a:ext cx="5027930" cy="1537970"/>
                          </a:xfrm>
                          <a:prstGeom prst="rect">
                            <a:avLst/>
                          </a:prstGeom>
                          <a:noFill/>
                          <a:ln>
                            <a:noFill/>
                          </a:ln>
                        </pic:spPr>
                      </pic:pic>
                    </a:graphicData>
                  </a:graphic>
                </wp:inline>
              </w:drawing>
            </w:r>
          </w:p>
          <w:p>
            <w:pPr>
              <w:pStyle w:val="11"/>
              <w:spacing w:line="360" w:lineRule="auto"/>
              <w:jc w:val="center"/>
              <w:rPr>
                <w:rFonts w:hint="default" w:ascii="Times New Roman" w:hAnsi="Times New Roman"/>
                <w:b/>
                <w:bCs/>
                <w:sz w:val="24"/>
              </w:rPr>
            </w:pPr>
            <w:r>
              <w:rPr>
                <w:rFonts w:hint="default" w:ascii="Times New Roman" w:hAnsi="Times New Roman"/>
                <w:b/>
                <w:bCs/>
                <w:sz w:val="24"/>
              </w:rPr>
              <w:t>图 3 主体工程工艺流程及产污环节图</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施工期工艺流程简述：项目施工工序主要为场地平整、土方开挖、房屋建筑及设备安装等，其污染物为基础施工、主体工程施工过程中产生的施工扬尘；基础施工、主体工程、设备安装过程等过程中产生的施工期噪声；房屋建筑施工过程中产生的建筑垃圾；以及施工人员活动过程中产生的生活垃圾及生活废水。各污染物排放量施工期和施工强度不同有所变化，且施工期结束这部分影响也随之消失。</w:t>
            </w:r>
          </w:p>
          <w:p>
            <w:pPr>
              <w:pStyle w:val="11"/>
              <w:spacing w:line="360" w:lineRule="auto"/>
              <w:ind w:firstLine="482" w:firstLineChars="200"/>
              <w:rPr>
                <w:rFonts w:hint="default" w:ascii="Times New Roman" w:hAnsi="Times New Roman"/>
                <w:b/>
                <w:bCs/>
                <w:sz w:val="24"/>
              </w:rPr>
            </w:pPr>
            <w:r>
              <w:rPr>
                <w:rFonts w:hint="default" w:ascii="Times New Roman" w:hAnsi="Times New Roman"/>
                <w:b/>
                <w:bCs/>
                <w:sz w:val="24"/>
              </w:rPr>
              <w:t>（2）运营期工艺流程及产污环节</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本项目运营期生产工艺如下：</w:t>
            </w:r>
          </w:p>
          <w:p>
            <w:pPr>
              <w:pStyle w:val="11"/>
              <w:spacing w:line="360" w:lineRule="auto"/>
              <w:rPr>
                <w:rFonts w:hint="default" w:ascii="Times New Roman" w:hAnsi="Times New Roman"/>
                <w:sz w:val="24"/>
              </w:rPr>
            </w:pPr>
            <w:r>
              <w:rPr>
                <w:rFonts w:hint="default" w:ascii="Times New Roman" w:hAnsi="Times New Roman"/>
              </w:rPr>
              <w:drawing>
                <wp:inline distT="0" distB="0" distL="114300" distR="114300">
                  <wp:extent cx="4840605" cy="3644265"/>
                  <wp:effectExtent l="0" t="0" r="17145" b="1333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17"/>
                          <a:stretch>
                            <a:fillRect/>
                          </a:stretch>
                        </pic:blipFill>
                        <pic:spPr>
                          <a:xfrm>
                            <a:off x="0" y="0"/>
                            <a:ext cx="4840605" cy="3644265"/>
                          </a:xfrm>
                          <a:prstGeom prst="rect">
                            <a:avLst/>
                          </a:prstGeom>
                          <a:noFill/>
                          <a:ln>
                            <a:noFill/>
                          </a:ln>
                        </pic:spPr>
                      </pic:pic>
                    </a:graphicData>
                  </a:graphic>
                </wp:inline>
              </w:drawing>
            </w:r>
          </w:p>
          <w:p>
            <w:pPr>
              <w:pStyle w:val="11"/>
              <w:spacing w:line="360" w:lineRule="auto"/>
              <w:jc w:val="center"/>
              <w:rPr>
                <w:rFonts w:hint="default" w:ascii="Times New Roman" w:hAnsi="Times New Roman"/>
                <w:b/>
                <w:bCs/>
                <w:sz w:val="24"/>
              </w:rPr>
            </w:pPr>
            <w:r>
              <w:rPr>
                <w:rFonts w:hint="default" w:ascii="Times New Roman" w:hAnsi="Times New Roman"/>
                <w:b/>
                <w:bCs/>
                <w:sz w:val="24"/>
              </w:rPr>
              <w:t>图4   运营期工艺流程及产污节点</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1）核生化处理区：设置用于发现有核辐射超标、有害生化因子的运输工具、集装箱、货物及发现危化品包装破损的隔离处置区，配备满足相应作业要求设施及人员防护设备，配套相关技术用房。本次环评不针对核生化处理区污染进行分析。</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（2）消杀通道：采用自动车辆喷淋系统是对通过对车辆箱体表面、底部进行喷洒消毒的防疫设施，适应于各大公路通关口岸、区域入境公路。</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当车辆行至通道前端时，车辆识别系统自动感应到车辆的靠近，感知到车辆进入通道信号后自动启动主机，对通道内车辆进行喷雾消毒，喷雾消毒包括箱体表面消毒和车辆轮胎及底部消毒，箱体表面消毒可对车辆两侧及车辆顶部进行消毒处理，轮胎及底部消毒可对车辆底盘及轮胎进行消毒处理。</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整个消毒处理过程，全自动操作，不需要人为干预，同时，车辆不需要停滞消毒，全部消毒过程在行进中进行，加快了通关速度。</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3）车辆停靠卸货：采取冷链货物外表面全方位自动消毒装置，核心传动部件采用316不锈钢材质，喷雾泵采用四氟材质，专业消毒喷头设计，动力滚筒输送机设计便于货物底部消毒。设备操作简单、工作效率高，平均消毒速度15件货每分钟，耐腐蚀性强，能实现自动输送，自动消毒，自动计数，药液自动回收再利用，视频监控，数据查验等功能，同时仪器有自诊断功能，维护成本低，适用于机场，口岸等冷链食品外表面和进境邮包等消毒场所。</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（4）冰鲜、肉类查验区：将水生动物、肉类、水果分别运至水生动物查验区、冷库、水果查验区分别进行查验、消毒等活动。</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1）水生动物查验区：具备防风防雨的查验场地。查验场地面积应当与进境食用水生动物数量、批次相适应。</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① 扣检场：扣检场存放池数量、容量应满足扣检需求。存放池独立供排水、标识清楚，具有供氧、调温、调节盐度等水生动物生存条件，并采取有效的防逃逸措施。具备对食用水生动物应分区、分池存放的条件；各区、池内使用的工具器具应清晰标识并区分。</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② 采样场：采样场所应当配置采样工作台、消毒池以及必要的临床检查和采样工器具间，如：解剖工具、不锈钢盘、手套、照相机、充氧设备、消毒设施设备、冷藏冰箱、保温送样箱、冰袋等；应当配置必要的防疫消毒药剂、器械及存放设施。</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③ 死亡水生动物暂存场所：具备死亡水生动物的暂存场所和相配套的设施设备。</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2）水果查验区：应当设立查验区、扣箱区等查验功能区，各区域布局、面积、环境、光线满足进境水果需求。水果由集装箱、箱式货车装运的，应当建设满足水果现场查验的专用平台。开箱查验现场配备防止有害生物逃逸的设施，以确保开箱查验环境相对封闭。</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① 暂扣库：扣留暂时不予放行的货物；② 业务技术用房：查验现场应当设有查验室、初筛鉴定室、样品存放室等配套设施。初筛鉴定室应明确划分养虫观察或生物安全饲养的功能区域；③监管冷库：有独立的满足进境水果检验检疫业务需要的监管库冷库的调温能力应当满足不同水果储存温度要求。冷库内安装温湿度传感器，库外设有温湿度监控系统，能实现温湿度数据在计算机自动记录、储存，可随时打印历史记录，同时具备温湿度异常状况报警装置；④废弃物暂存设施：配置集中收集破果、烂果的密闭设施设备；⑤检疫处理设施：具备满足水果除害处理需求的熏蒸库或冷处理库，或其他经海关认可的检疫处理设施；⑥销毁设施：口岸所在地海关辖区内应当具有经海关认可的、具有资质的销毁处理单位，或者在查验场地范围内配套建有水果销毁设施。</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3）肉类产品查验区：技术用房至少包括样品预处理室、感官检验室、采样室、样品存储室、防疫应急处置室、应急设备存放室、药械存放室、设施设备清洗消毒室、信息设备机房或具有集合以上功能的房间。</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① 肉类食品存储库：肉类食品储存库原则上应当设置在进境口岸监管区范围内，交通运输便利，并具备方便搬运的运作空间，库容量具备一定规模。肉类食品储存库按存储温度分为冷藏库和冷冻库，冷冻库库房温度应当达到-18℃以下；冷藏库库房温度应当达到 4℃以下，有特殊温度要求的还应设立特殊的存储场所；② 废弃物暂存设施：在查验区的下风位置，建有废弃物暂存设施，应相对封闭且不易泄露，同时应便于清洗和消毒。</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（5）熏蒸处理区：检疫熏蒸设施主要针对水果等货物的熏蒸处理要求。有效杀灭进口货物所携带的有害生物，防止有害生物的传入和扩散。熏蒸处理工艺如下：</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① 熏蒸设施密闭：货物装载完成后，关闭熏蒸设施，密闭工作完成。根据现场环境和温度情况，决定是否启动温度控制系统，并在熏蒸现场周围设置警戒标志和警戒线；② 施药：操作人员必须做好个人防护，按计算好的投药量实施；③投药。在投药过程中应根据温度情况，控制投药速度，防止液态药物进入熏蒸设施，由于溴甲烷的沸点是 4℃，室温下为气体；④环流：在投药的同时环流系统自动开启，当熏蒸设施内药剂浓度混合均匀后自动停止；⑤浓度采集：环流结束后，实时采集熏蒸设施内熏蒸药剂浓度，并将数据上传至监管平台，供监管部门查看；⑥药剂回收：熏蒸结束后，作业人员启动熏蒸药剂回收系统；⑦通风散毒：在达到规定的熏蒸时间后，根据熏蒸设施内检测到的熏蒸药剂浓度，判断熏蒸效果达到规定时，启动通风散毒程序开始散毒，当检测到药剂的浓度低于 0.02g/m</w:t>
            </w:r>
            <w:r>
              <w:rPr>
                <w:rFonts w:hint="default" w:ascii="Times New Roman" w:hAnsi="Times New Roman"/>
                <w:sz w:val="24"/>
                <w:vertAlign w:val="superscript"/>
              </w:rPr>
              <w:t>3</w:t>
            </w:r>
            <w:r>
              <w:rPr>
                <w:rFonts w:hint="default" w:ascii="Times New Roman" w:hAnsi="Times New Roman"/>
                <w:sz w:val="24"/>
              </w:rPr>
              <w:t>，熏蒸散毒过程结束；⑧现场处理与记录：熏蒸完毕后，拆除熏蒸警戒标志和警戒线，清理现场，整个熏蒸过程中的每项工作内容和情况都必须做详细记录。</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（6）无害化处理区：主要包括针对病死动物尸体无害化处理、进出口水果等货物进行湿热、冷处理。其处理工艺如下：</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① 无害化处理工艺</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无害化处理方式，是将物料碎化处理后输送至密闭容器内，在不断搅拌的同时，通过在夹套导入高温循环热源对物料进行高温高压灭菌处理的工艺技术，处理过程中热源不直接接触含病菌的物料，利用物料内水分加热汽化产生压力，化制完成后通过真空干燥、脱脂、冷却、粉碎等工序，最终完成物料的无害化处理，该设备采用电加热产生的高温蒸汽加热夹层。</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工艺流程如下：</w:t>
            </w:r>
          </w:p>
          <w:p>
            <w:pPr>
              <w:pStyle w:val="11"/>
              <w:spacing w:line="360" w:lineRule="auto"/>
              <w:jc w:val="center"/>
              <w:rPr>
                <w:rFonts w:hint="default" w:ascii="Times New Roman" w:hAnsi="Times New Roman"/>
                <w:sz w:val="24"/>
              </w:rPr>
            </w:pPr>
            <w:r>
              <w:rPr>
                <w:rFonts w:hint="default" w:ascii="Times New Roman" w:hAnsi="Times New Roman"/>
              </w:rPr>
              <w:drawing>
                <wp:inline distT="0" distB="0" distL="114300" distR="114300">
                  <wp:extent cx="3705225" cy="3209925"/>
                  <wp:effectExtent l="0" t="0" r="9525" b="952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8"/>
                          <a:stretch>
                            <a:fillRect/>
                          </a:stretch>
                        </pic:blipFill>
                        <pic:spPr>
                          <a:xfrm>
                            <a:off x="0" y="0"/>
                            <a:ext cx="3705225" cy="3209925"/>
                          </a:xfrm>
                          <a:prstGeom prst="rect">
                            <a:avLst/>
                          </a:prstGeom>
                          <a:noFill/>
                          <a:ln>
                            <a:noFill/>
                          </a:ln>
                        </pic:spPr>
                      </pic:pic>
                    </a:graphicData>
                  </a:graphic>
                </wp:inline>
              </w:drawing>
            </w:r>
          </w:p>
          <w:p>
            <w:pPr>
              <w:pStyle w:val="11"/>
              <w:spacing w:line="360" w:lineRule="auto"/>
              <w:jc w:val="center"/>
              <w:rPr>
                <w:rFonts w:hint="default" w:ascii="Times New Roman" w:hAnsi="Times New Roman"/>
                <w:b/>
                <w:bCs/>
                <w:sz w:val="24"/>
              </w:rPr>
            </w:pPr>
            <w:r>
              <w:rPr>
                <w:rFonts w:hint="default" w:ascii="Times New Roman" w:hAnsi="Times New Roman"/>
                <w:b/>
                <w:bCs/>
                <w:sz w:val="24"/>
              </w:rPr>
              <w:t>图 5   无害化处理工艺流程</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② 湿热处理工艺</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将物料装载入湿热处理设备，密闭物料处理仓。对密闭处理仓的物料持续进行高温高湿蒸汽灭菌灭活处理，灭菌灭活介质设定为饱和热蒸汽，直至湿热处理设施内温度和物料中心温度达到 85℃相对湿度 80%以上，持续 5min 后，完成物料灭菌灭活处理。灭菌灭活处理完成后，对湿热处理设施内进行通风干燥处理，排出湿热处理设施内水分，降低内部温度至常温，随后出料。该设备的高温蒸汽由设备系统自带电加热器提供，工艺流程图如下：</w:t>
            </w:r>
          </w:p>
          <w:p>
            <w:pPr>
              <w:pStyle w:val="11"/>
              <w:spacing w:line="360" w:lineRule="auto"/>
              <w:jc w:val="center"/>
              <w:rPr>
                <w:rFonts w:hint="default" w:ascii="Times New Roman" w:hAnsi="Times New Roman"/>
                <w:sz w:val="24"/>
              </w:rPr>
            </w:pPr>
            <w:r>
              <w:rPr>
                <w:rFonts w:hint="default" w:ascii="Times New Roman" w:hAnsi="Times New Roman"/>
              </w:rPr>
              <w:drawing>
                <wp:inline distT="0" distB="0" distL="114300" distR="114300">
                  <wp:extent cx="3552825" cy="3181350"/>
                  <wp:effectExtent l="0" t="0" r="9525" b="0"/>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19"/>
                          <a:stretch>
                            <a:fillRect/>
                          </a:stretch>
                        </pic:blipFill>
                        <pic:spPr>
                          <a:xfrm>
                            <a:off x="0" y="0"/>
                            <a:ext cx="3552825" cy="3181350"/>
                          </a:xfrm>
                          <a:prstGeom prst="rect">
                            <a:avLst/>
                          </a:prstGeom>
                          <a:noFill/>
                          <a:ln>
                            <a:noFill/>
                          </a:ln>
                        </pic:spPr>
                      </pic:pic>
                    </a:graphicData>
                  </a:graphic>
                </wp:inline>
              </w:drawing>
            </w:r>
          </w:p>
          <w:p>
            <w:pPr>
              <w:pStyle w:val="11"/>
              <w:spacing w:line="360" w:lineRule="auto"/>
              <w:jc w:val="center"/>
              <w:rPr>
                <w:rFonts w:hint="default" w:ascii="Times New Roman" w:hAnsi="Times New Roman"/>
                <w:b/>
                <w:bCs/>
                <w:sz w:val="24"/>
              </w:rPr>
            </w:pPr>
            <w:r>
              <w:rPr>
                <w:rFonts w:hint="default" w:ascii="Times New Roman" w:hAnsi="Times New Roman"/>
                <w:b/>
                <w:bCs/>
                <w:sz w:val="24"/>
              </w:rPr>
              <w:t>图 6   湿热处理工艺流程</w:t>
            </w:r>
          </w:p>
          <w:p>
            <w:pPr>
              <w:pStyle w:val="11"/>
              <w:spacing w:line="360" w:lineRule="auto"/>
              <w:ind w:firstLine="480" w:firstLineChars="200"/>
              <w:rPr>
                <w:rFonts w:hint="default" w:ascii="Times New Roman" w:hAnsi="Times New Roman"/>
                <w:sz w:val="24"/>
              </w:rPr>
            </w:pPr>
            <w:r>
              <w:rPr>
                <w:rFonts w:hint="default" w:ascii="Times New Roman" w:hAnsi="Times New Roman"/>
                <w:sz w:val="24"/>
              </w:rPr>
              <w:t>③冷处理工艺</w:t>
            </w:r>
          </w:p>
          <w:p>
            <w:pPr>
              <w:pStyle w:val="11"/>
              <w:spacing w:line="360" w:lineRule="auto"/>
              <w:ind w:firstLine="480" w:firstLineChars="200"/>
              <w:rPr>
                <w:rFonts w:hint="default" w:ascii="Times New Roman" w:hAnsi="Times New Roman"/>
              </w:rPr>
            </w:pPr>
            <w:r>
              <w:rPr>
                <w:rFonts w:hint="default" w:ascii="Times New Roman" w:hAnsi="Times New Roman"/>
                <w:sz w:val="24"/>
              </w:rPr>
              <w:t>将需要冷处理的货物置于设施内，设施内温度与货物冷处理要求温度一样，进行冷处理。所有探测点温度都达到指定的温度时才能作为冷处理的起始时间，冷处理持续时间需要满足物料冷处理指标。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0" w:type="dxa"/>
            <w:vAlign w:val="center"/>
          </w:tcPr>
          <w:p>
            <w:pPr>
              <w:adjustRightInd w:val="0"/>
              <w:snapToGrid w:val="0"/>
              <w:jc w:val="center"/>
              <w:rPr>
                <w:kern w:val="0"/>
              </w:rPr>
            </w:pPr>
            <w:r>
              <w:rPr>
                <w:kern w:val="0"/>
              </w:rPr>
              <w:t>其他</w:t>
            </w:r>
          </w:p>
        </w:tc>
        <w:tc>
          <w:tcPr>
            <w:tcW w:w="7774" w:type="dxa"/>
            <w:vAlign w:val="center"/>
          </w:tcPr>
          <w:p>
            <w:pPr>
              <w:widowControl/>
              <w:spacing w:before="120" w:beforeLines="50" w:line="360" w:lineRule="auto"/>
              <w:jc w:val="left"/>
              <w:rPr>
                <w:kern w:val="0"/>
              </w:rPr>
            </w:pPr>
            <w:r>
              <w:rPr>
                <w:b/>
                <w:bCs/>
              </w:rPr>
              <w:t>燃气管道建设项目</w:t>
            </w:r>
            <w:r>
              <w:t>设计资料无比选方案；管线起点为环园路北侧已建管线处，项目输气目的地为保税区航空货运区，由于安全问题，天然气管线不能经过内部场地，因此出于安全和经济原则，以及已建输气管线和保税区航空货运区位置综合考量，管线沿货运区外侧布置，管线规划通过喀什市行政审批，设计线路走向为唯一路线；</w:t>
            </w:r>
            <w:r>
              <w:rPr>
                <w:b/>
                <w:bCs/>
                <w:spacing w:val="7"/>
              </w:rPr>
              <w:t>航空货运区项目无其他设计。</w:t>
            </w:r>
          </w:p>
        </w:tc>
      </w:tr>
    </w:tbl>
    <w:p>
      <w:pPr>
        <w:rPr>
          <w:rFonts w:eastAsia="黑体"/>
          <w:snapToGrid w:val="0"/>
          <w:sz w:val="30"/>
          <w:szCs w:val="30"/>
        </w:rPr>
      </w:pPr>
      <w:r>
        <w:rPr>
          <w:rFonts w:eastAsia="黑体"/>
          <w:snapToGrid w:val="0"/>
          <w:sz w:val="30"/>
          <w:szCs w:val="30"/>
        </w:rPr>
        <w:br w:type="page"/>
      </w: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三、生态环境现状、保护目标及评价标准</w:t>
      </w:r>
    </w:p>
    <w:tbl>
      <w:tblPr>
        <w:tblStyle w:val="23"/>
        <w:tblW w:w="86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3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79" w:type="dxa"/>
            <w:vAlign w:val="center"/>
          </w:tcPr>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p>
          <w:p>
            <w:pPr>
              <w:adjustRightInd w:val="0"/>
              <w:snapToGrid w:val="0"/>
              <w:jc w:val="center"/>
              <w:rPr>
                <w:kern w:val="0"/>
              </w:rPr>
            </w:pPr>
            <w:r>
              <w:rPr>
                <w:kern w:val="0"/>
              </w:rPr>
              <w:t>生态环境现状</w:t>
            </w:r>
          </w:p>
          <w:p>
            <w:pPr>
              <w:adjustRightInd w:val="0"/>
              <w:snapToGrid w:val="0"/>
              <w:jc w:val="center"/>
              <w:rPr>
                <w:kern w:val="0"/>
              </w:rPr>
            </w:pPr>
          </w:p>
          <w:p>
            <w:pPr>
              <w:adjustRightInd w:val="0"/>
              <w:snapToGrid w:val="0"/>
              <w:jc w:val="center"/>
              <w:rPr>
                <w:kern w:val="0"/>
              </w:rPr>
            </w:pPr>
          </w:p>
        </w:tc>
        <w:tc>
          <w:tcPr>
            <w:tcW w:w="7847" w:type="dxa"/>
            <w:vAlign w:val="center"/>
          </w:tcPr>
          <w:p>
            <w:pPr>
              <w:spacing w:before="120" w:beforeLines="50" w:line="360" w:lineRule="auto"/>
              <w:rPr>
                <w:b/>
                <w:bCs/>
              </w:rPr>
            </w:pPr>
            <w:r>
              <w:rPr>
                <w:b/>
                <w:bCs/>
                <w:lang w:bidi="ar"/>
              </w:rPr>
              <w:t>1环境空气质量现状调查及评价</w:t>
            </w:r>
          </w:p>
          <w:p>
            <w:pPr>
              <w:numPr>
                <w:ilvl w:val="1"/>
                <w:numId w:val="3"/>
              </w:numPr>
              <w:spacing w:line="360" w:lineRule="auto"/>
              <w:ind w:firstLine="482" w:firstLineChars="200"/>
              <w:rPr>
                <w:b/>
                <w:bCs/>
              </w:rPr>
            </w:pPr>
            <w:r>
              <w:rPr>
                <w:b/>
                <w:bCs/>
              </w:rPr>
              <w:t>区域基本污染物环境质量现状评价</w:t>
            </w:r>
          </w:p>
          <w:p>
            <w:pPr>
              <w:spacing w:line="360" w:lineRule="auto"/>
              <w:ind w:left="480" w:leftChars="200"/>
              <w:rPr>
                <w:rFonts w:eastAsiaTheme="minorEastAsia"/>
              </w:rPr>
            </w:pPr>
            <w:r>
              <w:rPr>
                <w:rFonts w:eastAsiaTheme="minorEastAsia"/>
              </w:rPr>
              <w:t>（1）数据来源</w:t>
            </w:r>
          </w:p>
          <w:p>
            <w:pPr>
              <w:spacing w:line="360" w:lineRule="auto"/>
              <w:ind w:firstLine="480" w:firstLineChars="200"/>
            </w:pPr>
            <w:r>
              <w:rPr>
                <w:lang w:bidi="ar"/>
              </w:rPr>
              <w:t>根据《环境影响评价技术导则-大气环境》（H.J2.2-2018）对环境质量现状数据的要求，</w:t>
            </w:r>
            <w:r>
              <w:t>本环评选取大气</w:t>
            </w:r>
            <w:r>
              <w:rPr>
                <w:position w:val="2"/>
              </w:rPr>
              <w:t>环境质量常规因子</w:t>
            </w:r>
            <w:r>
              <w:rPr>
                <w:rFonts w:eastAsia="Times New Roman"/>
                <w:position w:val="2"/>
              </w:rPr>
              <w:t>SO</w:t>
            </w:r>
            <w:r>
              <w:rPr>
                <w:rFonts w:eastAsia="Times New Roman"/>
                <w:position w:val="2"/>
                <w:vertAlign w:val="subscript"/>
              </w:rPr>
              <w:t>2</w:t>
            </w:r>
            <w:r>
              <w:rPr>
                <w:position w:val="2"/>
              </w:rPr>
              <w:t>、</w:t>
            </w:r>
            <w:r>
              <w:rPr>
                <w:rFonts w:eastAsia="Times New Roman"/>
                <w:position w:val="2"/>
              </w:rPr>
              <w:t>NO</w:t>
            </w:r>
            <w:r>
              <w:rPr>
                <w:rFonts w:eastAsia="Times New Roman"/>
                <w:position w:val="2"/>
                <w:vertAlign w:val="subscript"/>
              </w:rPr>
              <w:t>2</w:t>
            </w:r>
            <w:r>
              <w:rPr>
                <w:position w:val="2"/>
              </w:rPr>
              <w:t>、</w:t>
            </w:r>
            <w:r>
              <w:rPr>
                <w:rFonts w:eastAsia="Times New Roman"/>
                <w:position w:val="2"/>
              </w:rPr>
              <w:t>PM</w:t>
            </w:r>
            <w:r>
              <w:rPr>
                <w:rFonts w:eastAsia="Times New Roman"/>
                <w:position w:val="2"/>
                <w:vertAlign w:val="subscript"/>
              </w:rPr>
              <w:t>10</w:t>
            </w:r>
            <w:r>
              <w:rPr>
                <w:position w:val="2"/>
              </w:rPr>
              <w:t>、</w:t>
            </w:r>
            <w:r>
              <w:rPr>
                <w:rFonts w:eastAsia="Times New Roman"/>
                <w:position w:val="2"/>
              </w:rPr>
              <w:t>PM</w:t>
            </w:r>
            <w:r>
              <w:rPr>
                <w:rFonts w:eastAsia="Times New Roman"/>
                <w:position w:val="2"/>
                <w:vertAlign w:val="subscript"/>
              </w:rPr>
              <w:t>2.5</w:t>
            </w:r>
            <w:r>
              <w:rPr>
                <w:position w:val="2"/>
              </w:rPr>
              <w:t>、</w:t>
            </w:r>
            <w:r>
              <w:rPr>
                <w:rFonts w:eastAsia="Times New Roman"/>
                <w:position w:val="2"/>
              </w:rPr>
              <w:t>CO</w:t>
            </w:r>
            <w:r>
              <w:rPr>
                <w:position w:val="2"/>
              </w:rPr>
              <w:t>、</w:t>
            </w:r>
            <w:r>
              <w:rPr>
                <w:rFonts w:eastAsia="Times New Roman"/>
                <w:position w:val="2"/>
              </w:rPr>
              <w:t>O</w:t>
            </w:r>
            <w:r>
              <w:rPr>
                <w:rFonts w:eastAsia="Times New Roman"/>
                <w:position w:val="2"/>
                <w:vertAlign w:val="subscript"/>
              </w:rPr>
              <w:t>3</w:t>
            </w:r>
            <w:r>
              <w:rPr>
                <w:position w:val="2"/>
              </w:rPr>
              <w:t>，环境空气质量</w:t>
            </w:r>
            <w:r>
              <w:t>现状数据采用环境专业知识服务系统（</w:t>
            </w:r>
            <w:r>
              <w:fldChar w:fldCharType="begin"/>
            </w:r>
            <w:r>
              <w:instrText xml:space="preserve"> HYPERLINK "http://envi.ckcest.cn/environment/" \h </w:instrText>
            </w:r>
            <w:r>
              <w:fldChar w:fldCharType="separate"/>
            </w:r>
            <w:r>
              <w:rPr>
                <w:rFonts w:eastAsia="Times New Roman"/>
              </w:rPr>
              <w:t>http://envi.ckcest.cn/environment/</w:t>
            </w:r>
            <w:r>
              <w:rPr>
                <w:rFonts w:eastAsia="Times New Roman"/>
              </w:rPr>
              <w:fldChar w:fldCharType="end"/>
            </w:r>
            <w:r>
              <w:t>）发布的</w:t>
            </w:r>
            <w:r>
              <w:rPr>
                <w:rFonts w:eastAsiaTheme="minorEastAsia"/>
              </w:rPr>
              <w:t>2022年</w:t>
            </w:r>
            <w:r>
              <w:t>喀什地区城市空气质量数据进行评价，其数据来源于生态环境部环境监测总站空气质量实时发布网站发布的喀什地区国控监测点监测数据。</w:t>
            </w:r>
          </w:p>
          <w:p>
            <w:pPr>
              <w:spacing w:line="360" w:lineRule="auto"/>
              <w:ind w:firstLine="480" w:firstLineChars="200"/>
              <w:rPr>
                <w:rFonts w:eastAsiaTheme="minorEastAsia"/>
              </w:rPr>
            </w:pPr>
            <w:r>
              <w:rPr>
                <w:rFonts w:eastAsiaTheme="minorEastAsia"/>
              </w:rPr>
              <w:t>（2）评价标准</w:t>
            </w:r>
          </w:p>
          <w:p>
            <w:pPr>
              <w:spacing w:line="360" w:lineRule="auto"/>
              <w:ind w:firstLine="480" w:firstLineChars="200"/>
              <w:rPr>
                <w:rFonts w:eastAsiaTheme="minorEastAsia"/>
              </w:rPr>
            </w:pPr>
            <w:r>
              <w:rPr>
                <w:rFonts w:eastAsiaTheme="minorEastAsia"/>
              </w:rPr>
              <w:t>评价标准：SO</w:t>
            </w:r>
            <w:r>
              <w:rPr>
                <w:rFonts w:eastAsiaTheme="minorEastAsia"/>
                <w:vertAlign w:val="subscript"/>
              </w:rPr>
              <w:t>2</w:t>
            </w:r>
            <w:r>
              <w:rPr>
                <w:rFonts w:eastAsiaTheme="minorEastAsia"/>
              </w:rPr>
              <w:t>、NO</w:t>
            </w:r>
            <w:r>
              <w:rPr>
                <w:rFonts w:eastAsiaTheme="minorEastAsia"/>
                <w:vertAlign w:val="subscript"/>
              </w:rPr>
              <w:t>2</w:t>
            </w:r>
            <w:r>
              <w:rPr>
                <w:rFonts w:eastAsiaTheme="minorEastAsia"/>
              </w:rPr>
              <w:t>、PM</w:t>
            </w:r>
            <w:r>
              <w:rPr>
                <w:rFonts w:eastAsiaTheme="minorEastAsia"/>
                <w:vertAlign w:val="subscript"/>
              </w:rPr>
              <w:t>10</w:t>
            </w:r>
            <w:r>
              <w:rPr>
                <w:rFonts w:eastAsiaTheme="minorEastAsia"/>
              </w:rPr>
              <w:t>、PM</w:t>
            </w:r>
            <w:r>
              <w:rPr>
                <w:rFonts w:eastAsiaTheme="minorEastAsia"/>
                <w:vertAlign w:val="subscript"/>
              </w:rPr>
              <w:t>2.5</w:t>
            </w:r>
            <w:r>
              <w:rPr>
                <w:rFonts w:eastAsiaTheme="minorEastAsia"/>
              </w:rPr>
              <w:t>、CO、O</w:t>
            </w:r>
            <w:r>
              <w:rPr>
                <w:rFonts w:eastAsiaTheme="minorEastAsia"/>
                <w:vertAlign w:val="subscript"/>
              </w:rPr>
              <w:t>3</w:t>
            </w:r>
            <w:r>
              <w:rPr>
                <w:rFonts w:eastAsiaTheme="minorEastAsia"/>
              </w:rPr>
              <w:t>执行《环境空气质量标准》(GB3095-2012)中二级标准。</w:t>
            </w:r>
          </w:p>
          <w:p>
            <w:pPr>
              <w:spacing w:line="360" w:lineRule="auto"/>
              <w:ind w:firstLine="480" w:firstLineChars="200"/>
              <w:rPr>
                <w:rFonts w:eastAsiaTheme="minorEastAsia"/>
              </w:rPr>
            </w:pPr>
            <w:r>
              <w:rPr>
                <w:rFonts w:eastAsiaTheme="minorEastAsia"/>
              </w:rPr>
              <w:t>（3）评价方法</w:t>
            </w:r>
          </w:p>
          <w:p>
            <w:pPr>
              <w:spacing w:line="360" w:lineRule="auto"/>
              <w:ind w:firstLine="480" w:firstLineChars="200"/>
              <w:rPr>
                <w:rFonts w:eastAsiaTheme="minorEastAsia"/>
              </w:rPr>
            </w:pPr>
            <w:r>
              <w:rPr>
                <w:rFonts w:eastAsiaTheme="minorEastAsia"/>
              </w:rPr>
              <w:t>按照《环境空气质量评价技术规范（试行）》（HJ663-2013）中各评价项目的年评价指标进行判定。年评价指标中的年均浓度和相应百分位数24h平均或8h平均质量浓度满足《环境空气质量标准》（GB3095-2012）中二级浓度限值要求的即为达标。</w:t>
            </w:r>
          </w:p>
          <w:p>
            <w:pPr>
              <w:spacing w:line="360" w:lineRule="auto"/>
              <w:ind w:firstLine="480" w:firstLineChars="200"/>
              <w:rPr>
                <w:rFonts w:eastAsiaTheme="minorEastAsia"/>
              </w:rPr>
            </w:pPr>
            <w:r>
              <w:rPr>
                <w:rFonts w:eastAsiaTheme="minorEastAsia"/>
              </w:rPr>
              <w:t>（4）监测及评价结果</w:t>
            </w:r>
          </w:p>
          <w:p>
            <w:pPr>
              <w:spacing w:line="360" w:lineRule="auto"/>
              <w:ind w:firstLine="480" w:firstLineChars="200"/>
              <w:rPr>
                <w:rFonts w:eastAsiaTheme="minorEastAsia"/>
              </w:rPr>
            </w:pPr>
            <w:r>
              <w:rPr>
                <w:rFonts w:eastAsiaTheme="minorEastAsia"/>
              </w:rPr>
              <w:t>大气环境质量现状监测、评价结果见表3-1。</w:t>
            </w:r>
          </w:p>
          <w:p>
            <w:pPr>
              <w:jc w:val="center"/>
              <w:rPr>
                <w:rFonts w:eastAsiaTheme="minorEastAsia"/>
                <w:b/>
                <w:sz w:val="21"/>
                <w:szCs w:val="21"/>
              </w:rPr>
            </w:pPr>
            <w:r>
              <w:rPr>
                <w:rFonts w:eastAsiaTheme="minorEastAsia"/>
                <w:b/>
                <w:sz w:val="21"/>
                <w:szCs w:val="21"/>
              </w:rPr>
              <w:t>表3-1        区域环境空气质量现状评价表ug/m</w:t>
            </w:r>
            <w:r>
              <w:rPr>
                <w:rFonts w:eastAsiaTheme="minorEastAsia"/>
                <w:b/>
                <w:sz w:val="21"/>
                <w:szCs w:val="21"/>
                <w:vertAlign w:val="superscript"/>
              </w:rPr>
              <w:t>3</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887"/>
              <w:gridCol w:w="2664"/>
              <w:gridCol w:w="1190"/>
              <w:gridCol w:w="1141"/>
              <w:gridCol w:w="1284"/>
              <w:gridCol w:w="12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b/>
                      <w:bCs/>
                      <w:sz w:val="21"/>
                      <w:szCs w:val="21"/>
                    </w:rPr>
                  </w:pPr>
                  <w:r>
                    <w:rPr>
                      <w:b/>
                      <w:bCs/>
                      <w:sz w:val="21"/>
                      <w:szCs w:val="21"/>
                    </w:rPr>
                    <w:t>序号</w:t>
                  </w:r>
                </w:p>
              </w:tc>
              <w:tc>
                <w:tcPr>
                  <w:tcW w:w="486" w:type="pct"/>
                  <w:vAlign w:val="center"/>
                </w:tcPr>
                <w:p>
                  <w:pPr>
                    <w:adjustRightInd w:val="0"/>
                    <w:snapToGrid w:val="0"/>
                    <w:jc w:val="center"/>
                    <w:rPr>
                      <w:b/>
                      <w:bCs/>
                      <w:sz w:val="21"/>
                      <w:szCs w:val="21"/>
                    </w:rPr>
                  </w:pPr>
                  <w:r>
                    <w:rPr>
                      <w:b/>
                      <w:bCs/>
                      <w:sz w:val="21"/>
                      <w:szCs w:val="21"/>
                    </w:rPr>
                    <w:t>项目</w:t>
                  </w:r>
                </w:p>
              </w:tc>
              <w:tc>
                <w:tcPr>
                  <w:tcW w:w="1459" w:type="pct"/>
                  <w:vAlign w:val="center"/>
                </w:tcPr>
                <w:p>
                  <w:pPr>
                    <w:adjustRightInd w:val="0"/>
                    <w:snapToGrid w:val="0"/>
                    <w:jc w:val="center"/>
                    <w:rPr>
                      <w:b/>
                      <w:bCs/>
                      <w:sz w:val="21"/>
                      <w:szCs w:val="21"/>
                    </w:rPr>
                  </w:pPr>
                  <w:r>
                    <w:rPr>
                      <w:b/>
                      <w:bCs/>
                      <w:sz w:val="21"/>
                      <w:szCs w:val="21"/>
                    </w:rPr>
                    <w:t>平均时间</w:t>
                  </w:r>
                </w:p>
              </w:tc>
              <w:tc>
                <w:tcPr>
                  <w:tcW w:w="652" w:type="pct"/>
                  <w:vAlign w:val="center"/>
                </w:tcPr>
                <w:p>
                  <w:pPr>
                    <w:adjustRightInd w:val="0"/>
                    <w:snapToGrid w:val="0"/>
                    <w:jc w:val="center"/>
                    <w:rPr>
                      <w:b/>
                      <w:bCs/>
                      <w:sz w:val="21"/>
                      <w:szCs w:val="21"/>
                    </w:rPr>
                  </w:pPr>
                  <w:r>
                    <w:rPr>
                      <w:b/>
                      <w:bCs/>
                      <w:sz w:val="21"/>
                      <w:szCs w:val="21"/>
                    </w:rPr>
                    <w:t>标准值</w:t>
                  </w:r>
                </w:p>
              </w:tc>
              <w:tc>
                <w:tcPr>
                  <w:tcW w:w="625" w:type="pct"/>
                  <w:vAlign w:val="center"/>
                </w:tcPr>
                <w:p>
                  <w:pPr>
                    <w:adjustRightInd w:val="0"/>
                    <w:snapToGrid w:val="0"/>
                    <w:jc w:val="center"/>
                    <w:rPr>
                      <w:b/>
                      <w:bCs/>
                      <w:sz w:val="21"/>
                      <w:szCs w:val="21"/>
                    </w:rPr>
                  </w:pPr>
                  <w:r>
                    <w:rPr>
                      <w:b/>
                      <w:bCs/>
                      <w:sz w:val="21"/>
                      <w:szCs w:val="21"/>
                    </w:rPr>
                    <w:t>监测值</w:t>
                  </w:r>
                </w:p>
              </w:tc>
              <w:tc>
                <w:tcPr>
                  <w:tcW w:w="703" w:type="pct"/>
                  <w:vAlign w:val="center"/>
                </w:tcPr>
                <w:p>
                  <w:pPr>
                    <w:adjustRightInd w:val="0"/>
                    <w:snapToGrid w:val="0"/>
                    <w:jc w:val="center"/>
                    <w:rPr>
                      <w:b/>
                      <w:bCs/>
                      <w:sz w:val="21"/>
                      <w:szCs w:val="21"/>
                    </w:rPr>
                  </w:pPr>
                  <w:r>
                    <w:rPr>
                      <w:b/>
                      <w:bCs/>
                      <w:sz w:val="21"/>
                      <w:szCs w:val="21"/>
                    </w:rPr>
                    <w:t>占标率%</w:t>
                  </w:r>
                </w:p>
              </w:tc>
              <w:tc>
                <w:tcPr>
                  <w:tcW w:w="701" w:type="pct"/>
                  <w:vAlign w:val="center"/>
                </w:tcPr>
                <w:p>
                  <w:pPr>
                    <w:adjustRightInd w:val="0"/>
                    <w:snapToGrid w:val="0"/>
                    <w:jc w:val="center"/>
                    <w:rPr>
                      <w:b/>
                      <w:bCs/>
                      <w:sz w:val="21"/>
                      <w:szCs w:val="21"/>
                    </w:rPr>
                  </w:pPr>
                  <w:r>
                    <w:rPr>
                      <w:b/>
                      <w:bCs/>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1</w:t>
                  </w:r>
                </w:p>
              </w:tc>
              <w:tc>
                <w:tcPr>
                  <w:tcW w:w="486" w:type="pct"/>
                  <w:vAlign w:val="center"/>
                </w:tcPr>
                <w:p>
                  <w:pPr>
                    <w:adjustRightInd w:val="0"/>
                    <w:snapToGrid w:val="0"/>
                    <w:jc w:val="center"/>
                    <w:rPr>
                      <w:sz w:val="21"/>
                      <w:szCs w:val="21"/>
                    </w:rPr>
                  </w:pPr>
                  <w:r>
                    <w:rPr>
                      <w:sz w:val="21"/>
                      <w:szCs w:val="21"/>
                    </w:rPr>
                    <w:t>SO</w:t>
                  </w:r>
                  <w:r>
                    <w:rPr>
                      <w:sz w:val="21"/>
                      <w:szCs w:val="21"/>
                      <w:vertAlign w:val="subscript"/>
                    </w:rPr>
                    <w:t>2</w:t>
                  </w:r>
                </w:p>
              </w:tc>
              <w:tc>
                <w:tcPr>
                  <w:tcW w:w="1459" w:type="pct"/>
                  <w:vAlign w:val="center"/>
                </w:tcPr>
                <w:p>
                  <w:pPr>
                    <w:jc w:val="center"/>
                    <w:rPr>
                      <w:sz w:val="21"/>
                      <w:szCs w:val="21"/>
                    </w:rPr>
                  </w:pPr>
                  <w:r>
                    <w:rPr>
                      <w:sz w:val="21"/>
                      <w:szCs w:val="21"/>
                    </w:rPr>
                    <w:t>年平均</w:t>
                  </w:r>
                </w:p>
              </w:tc>
              <w:tc>
                <w:tcPr>
                  <w:tcW w:w="652" w:type="pct"/>
                  <w:vAlign w:val="center"/>
                </w:tcPr>
                <w:p>
                  <w:pPr>
                    <w:adjustRightInd w:val="0"/>
                    <w:snapToGrid w:val="0"/>
                    <w:jc w:val="center"/>
                    <w:rPr>
                      <w:sz w:val="21"/>
                      <w:szCs w:val="21"/>
                    </w:rPr>
                  </w:pPr>
                  <w:r>
                    <w:rPr>
                      <w:sz w:val="21"/>
                      <w:szCs w:val="21"/>
                    </w:rPr>
                    <w:t>60</w:t>
                  </w:r>
                </w:p>
              </w:tc>
              <w:tc>
                <w:tcPr>
                  <w:tcW w:w="625" w:type="pct"/>
                  <w:vAlign w:val="center"/>
                </w:tcPr>
                <w:p>
                  <w:pPr>
                    <w:adjustRightInd w:val="0"/>
                    <w:snapToGrid w:val="0"/>
                    <w:jc w:val="center"/>
                    <w:rPr>
                      <w:sz w:val="21"/>
                      <w:szCs w:val="21"/>
                    </w:rPr>
                  </w:pPr>
                  <w:r>
                    <w:rPr>
                      <w:sz w:val="21"/>
                      <w:szCs w:val="21"/>
                    </w:rPr>
                    <w:t>7</w:t>
                  </w:r>
                </w:p>
              </w:tc>
              <w:tc>
                <w:tcPr>
                  <w:tcW w:w="703" w:type="pct"/>
                  <w:vAlign w:val="center"/>
                </w:tcPr>
                <w:p>
                  <w:pPr>
                    <w:adjustRightInd w:val="0"/>
                    <w:snapToGrid w:val="0"/>
                    <w:jc w:val="center"/>
                    <w:rPr>
                      <w:sz w:val="21"/>
                      <w:szCs w:val="21"/>
                    </w:rPr>
                  </w:pPr>
                  <w:r>
                    <w:rPr>
                      <w:sz w:val="21"/>
                      <w:szCs w:val="21"/>
                    </w:rPr>
                    <w:t>11.67</w:t>
                  </w:r>
                </w:p>
              </w:tc>
              <w:tc>
                <w:tcPr>
                  <w:tcW w:w="701" w:type="pct"/>
                  <w:vAlign w:val="center"/>
                </w:tcPr>
                <w:p>
                  <w:pPr>
                    <w:adjustRightInd w:val="0"/>
                    <w:snapToGrid w:val="0"/>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2</w:t>
                  </w:r>
                </w:p>
              </w:tc>
              <w:tc>
                <w:tcPr>
                  <w:tcW w:w="486" w:type="pct"/>
                  <w:vAlign w:val="center"/>
                </w:tcPr>
                <w:p>
                  <w:pPr>
                    <w:adjustRightInd w:val="0"/>
                    <w:snapToGrid w:val="0"/>
                    <w:jc w:val="center"/>
                    <w:rPr>
                      <w:sz w:val="21"/>
                      <w:szCs w:val="21"/>
                    </w:rPr>
                  </w:pPr>
                  <w:r>
                    <w:rPr>
                      <w:sz w:val="21"/>
                      <w:szCs w:val="21"/>
                    </w:rPr>
                    <w:t>NO</w:t>
                  </w:r>
                  <w:r>
                    <w:rPr>
                      <w:sz w:val="21"/>
                      <w:szCs w:val="21"/>
                      <w:vertAlign w:val="subscript"/>
                    </w:rPr>
                    <w:t>2</w:t>
                  </w:r>
                </w:p>
              </w:tc>
              <w:tc>
                <w:tcPr>
                  <w:tcW w:w="1459" w:type="pct"/>
                  <w:vAlign w:val="center"/>
                </w:tcPr>
                <w:p>
                  <w:pPr>
                    <w:jc w:val="center"/>
                    <w:rPr>
                      <w:sz w:val="21"/>
                      <w:szCs w:val="21"/>
                    </w:rPr>
                  </w:pPr>
                  <w:r>
                    <w:rPr>
                      <w:sz w:val="21"/>
                      <w:szCs w:val="21"/>
                    </w:rPr>
                    <w:t>年平均</w:t>
                  </w:r>
                </w:p>
              </w:tc>
              <w:tc>
                <w:tcPr>
                  <w:tcW w:w="652" w:type="pct"/>
                  <w:vAlign w:val="center"/>
                </w:tcPr>
                <w:p>
                  <w:pPr>
                    <w:adjustRightInd w:val="0"/>
                    <w:snapToGrid w:val="0"/>
                    <w:jc w:val="center"/>
                    <w:rPr>
                      <w:sz w:val="21"/>
                      <w:szCs w:val="21"/>
                    </w:rPr>
                  </w:pPr>
                  <w:r>
                    <w:rPr>
                      <w:sz w:val="21"/>
                      <w:szCs w:val="21"/>
                    </w:rPr>
                    <w:t>40</w:t>
                  </w:r>
                </w:p>
              </w:tc>
              <w:tc>
                <w:tcPr>
                  <w:tcW w:w="625" w:type="pct"/>
                  <w:vAlign w:val="center"/>
                </w:tcPr>
                <w:p>
                  <w:pPr>
                    <w:adjustRightInd w:val="0"/>
                    <w:snapToGrid w:val="0"/>
                    <w:jc w:val="center"/>
                    <w:rPr>
                      <w:sz w:val="21"/>
                      <w:szCs w:val="21"/>
                    </w:rPr>
                  </w:pPr>
                  <w:r>
                    <w:rPr>
                      <w:sz w:val="21"/>
                      <w:szCs w:val="21"/>
                    </w:rPr>
                    <w:t>33</w:t>
                  </w:r>
                </w:p>
              </w:tc>
              <w:tc>
                <w:tcPr>
                  <w:tcW w:w="703" w:type="pct"/>
                  <w:vAlign w:val="center"/>
                </w:tcPr>
                <w:p>
                  <w:pPr>
                    <w:adjustRightInd w:val="0"/>
                    <w:snapToGrid w:val="0"/>
                    <w:jc w:val="center"/>
                    <w:rPr>
                      <w:sz w:val="21"/>
                      <w:szCs w:val="21"/>
                    </w:rPr>
                  </w:pPr>
                  <w:r>
                    <w:rPr>
                      <w:sz w:val="21"/>
                      <w:szCs w:val="21"/>
                    </w:rPr>
                    <w:t>82.50</w:t>
                  </w:r>
                </w:p>
              </w:tc>
              <w:tc>
                <w:tcPr>
                  <w:tcW w:w="701" w:type="pct"/>
                  <w:vAlign w:val="center"/>
                </w:tcPr>
                <w:p>
                  <w:pPr>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3</w:t>
                  </w:r>
                </w:p>
              </w:tc>
              <w:tc>
                <w:tcPr>
                  <w:tcW w:w="486" w:type="pct"/>
                  <w:vAlign w:val="center"/>
                </w:tcPr>
                <w:p>
                  <w:pPr>
                    <w:adjustRightInd w:val="0"/>
                    <w:snapToGrid w:val="0"/>
                    <w:jc w:val="center"/>
                    <w:rPr>
                      <w:sz w:val="21"/>
                      <w:szCs w:val="21"/>
                    </w:rPr>
                  </w:pPr>
                  <w:r>
                    <w:rPr>
                      <w:sz w:val="21"/>
                      <w:szCs w:val="21"/>
                    </w:rPr>
                    <w:t>PM</w:t>
                  </w:r>
                  <w:r>
                    <w:rPr>
                      <w:sz w:val="21"/>
                      <w:szCs w:val="21"/>
                      <w:vertAlign w:val="subscript"/>
                    </w:rPr>
                    <w:t>10</w:t>
                  </w:r>
                </w:p>
              </w:tc>
              <w:tc>
                <w:tcPr>
                  <w:tcW w:w="1459" w:type="pct"/>
                  <w:vAlign w:val="center"/>
                </w:tcPr>
                <w:p>
                  <w:pPr>
                    <w:jc w:val="center"/>
                    <w:rPr>
                      <w:sz w:val="21"/>
                      <w:szCs w:val="21"/>
                    </w:rPr>
                  </w:pPr>
                  <w:r>
                    <w:rPr>
                      <w:sz w:val="21"/>
                      <w:szCs w:val="21"/>
                    </w:rPr>
                    <w:t>年平均</w:t>
                  </w:r>
                </w:p>
              </w:tc>
              <w:tc>
                <w:tcPr>
                  <w:tcW w:w="652" w:type="pct"/>
                  <w:vAlign w:val="center"/>
                </w:tcPr>
                <w:p>
                  <w:pPr>
                    <w:adjustRightInd w:val="0"/>
                    <w:snapToGrid w:val="0"/>
                    <w:jc w:val="center"/>
                    <w:rPr>
                      <w:sz w:val="21"/>
                      <w:szCs w:val="21"/>
                    </w:rPr>
                  </w:pPr>
                  <w:r>
                    <w:rPr>
                      <w:sz w:val="21"/>
                      <w:szCs w:val="21"/>
                    </w:rPr>
                    <w:t>70</w:t>
                  </w:r>
                </w:p>
              </w:tc>
              <w:tc>
                <w:tcPr>
                  <w:tcW w:w="625" w:type="pct"/>
                  <w:vAlign w:val="center"/>
                </w:tcPr>
                <w:p>
                  <w:pPr>
                    <w:adjustRightInd w:val="0"/>
                    <w:snapToGrid w:val="0"/>
                    <w:jc w:val="center"/>
                    <w:rPr>
                      <w:sz w:val="21"/>
                      <w:szCs w:val="21"/>
                    </w:rPr>
                  </w:pPr>
                  <w:r>
                    <w:rPr>
                      <w:sz w:val="21"/>
                      <w:szCs w:val="21"/>
                    </w:rPr>
                    <w:t>115</w:t>
                  </w:r>
                </w:p>
              </w:tc>
              <w:tc>
                <w:tcPr>
                  <w:tcW w:w="703" w:type="pct"/>
                  <w:vAlign w:val="center"/>
                </w:tcPr>
                <w:p>
                  <w:pPr>
                    <w:adjustRightInd w:val="0"/>
                    <w:snapToGrid w:val="0"/>
                    <w:jc w:val="center"/>
                    <w:rPr>
                      <w:sz w:val="21"/>
                      <w:szCs w:val="21"/>
                    </w:rPr>
                  </w:pPr>
                  <w:r>
                    <w:rPr>
                      <w:sz w:val="21"/>
                      <w:szCs w:val="21"/>
                    </w:rPr>
                    <w:t>164.29</w:t>
                  </w:r>
                </w:p>
              </w:tc>
              <w:tc>
                <w:tcPr>
                  <w:tcW w:w="701" w:type="pct"/>
                  <w:vAlign w:val="center"/>
                </w:tcPr>
                <w:p>
                  <w:pPr>
                    <w:jc w:val="center"/>
                    <w:rPr>
                      <w:sz w:val="21"/>
                      <w:szCs w:val="21"/>
                    </w:rPr>
                  </w:pPr>
                  <w:r>
                    <w:rPr>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4</w:t>
                  </w:r>
                </w:p>
              </w:tc>
              <w:tc>
                <w:tcPr>
                  <w:tcW w:w="486" w:type="pct"/>
                  <w:vAlign w:val="center"/>
                </w:tcPr>
                <w:p>
                  <w:pPr>
                    <w:adjustRightInd w:val="0"/>
                    <w:snapToGrid w:val="0"/>
                    <w:jc w:val="center"/>
                    <w:rPr>
                      <w:sz w:val="21"/>
                      <w:szCs w:val="21"/>
                    </w:rPr>
                  </w:pPr>
                  <w:r>
                    <w:rPr>
                      <w:kern w:val="0"/>
                      <w:sz w:val="21"/>
                      <w:szCs w:val="21"/>
                    </w:rPr>
                    <w:t>PM</w:t>
                  </w:r>
                  <w:r>
                    <w:rPr>
                      <w:kern w:val="0"/>
                      <w:sz w:val="21"/>
                      <w:szCs w:val="21"/>
                      <w:vertAlign w:val="subscript"/>
                    </w:rPr>
                    <w:t>2.5</w:t>
                  </w:r>
                </w:p>
              </w:tc>
              <w:tc>
                <w:tcPr>
                  <w:tcW w:w="1459" w:type="pct"/>
                  <w:vAlign w:val="center"/>
                </w:tcPr>
                <w:p>
                  <w:pPr>
                    <w:jc w:val="center"/>
                    <w:rPr>
                      <w:sz w:val="21"/>
                      <w:szCs w:val="21"/>
                    </w:rPr>
                  </w:pPr>
                  <w:r>
                    <w:rPr>
                      <w:sz w:val="21"/>
                      <w:szCs w:val="21"/>
                    </w:rPr>
                    <w:t>年平均</w:t>
                  </w:r>
                </w:p>
              </w:tc>
              <w:tc>
                <w:tcPr>
                  <w:tcW w:w="652" w:type="pct"/>
                  <w:vAlign w:val="center"/>
                </w:tcPr>
                <w:p>
                  <w:pPr>
                    <w:adjustRightInd w:val="0"/>
                    <w:snapToGrid w:val="0"/>
                    <w:jc w:val="center"/>
                    <w:rPr>
                      <w:sz w:val="21"/>
                      <w:szCs w:val="21"/>
                    </w:rPr>
                  </w:pPr>
                  <w:r>
                    <w:rPr>
                      <w:sz w:val="21"/>
                      <w:szCs w:val="21"/>
                    </w:rPr>
                    <w:t>35</w:t>
                  </w:r>
                </w:p>
              </w:tc>
              <w:tc>
                <w:tcPr>
                  <w:tcW w:w="625" w:type="pct"/>
                  <w:vAlign w:val="center"/>
                </w:tcPr>
                <w:p>
                  <w:pPr>
                    <w:adjustRightInd w:val="0"/>
                    <w:snapToGrid w:val="0"/>
                    <w:jc w:val="center"/>
                    <w:rPr>
                      <w:sz w:val="21"/>
                      <w:szCs w:val="21"/>
                    </w:rPr>
                  </w:pPr>
                  <w:r>
                    <w:rPr>
                      <w:sz w:val="21"/>
                      <w:szCs w:val="21"/>
                    </w:rPr>
                    <w:t>48</w:t>
                  </w:r>
                </w:p>
              </w:tc>
              <w:tc>
                <w:tcPr>
                  <w:tcW w:w="703" w:type="pct"/>
                  <w:vAlign w:val="center"/>
                </w:tcPr>
                <w:p>
                  <w:pPr>
                    <w:adjustRightInd w:val="0"/>
                    <w:snapToGrid w:val="0"/>
                    <w:jc w:val="center"/>
                    <w:rPr>
                      <w:sz w:val="21"/>
                      <w:szCs w:val="21"/>
                    </w:rPr>
                  </w:pPr>
                  <w:r>
                    <w:rPr>
                      <w:sz w:val="21"/>
                      <w:szCs w:val="21"/>
                    </w:rPr>
                    <w:t>137.14</w:t>
                  </w:r>
                </w:p>
              </w:tc>
              <w:tc>
                <w:tcPr>
                  <w:tcW w:w="701" w:type="pct"/>
                  <w:vAlign w:val="center"/>
                </w:tcPr>
                <w:p>
                  <w:pPr>
                    <w:jc w:val="center"/>
                    <w:rPr>
                      <w:sz w:val="21"/>
                      <w:szCs w:val="21"/>
                    </w:rPr>
                  </w:pPr>
                  <w:r>
                    <w:rPr>
                      <w:sz w:val="21"/>
                      <w:szCs w:val="21"/>
                    </w:rPr>
                    <w:t>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5</w:t>
                  </w:r>
                </w:p>
              </w:tc>
              <w:tc>
                <w:tcPr>
                  <w:tcW w:w="486" w:type="pct"/>
                  <w:vAlign w:val="center"/>
                </w:tcPr>
                <w:p>
                  <w:pPr>
                    <w:adjustRightInd w:val="0"/>
                    <w:snapToGrid w:val="0"/>
                    <w:jc w:val="center"/>
                    <w:rPr>
                      <w:kern w:val="0"/>
                      <w:sz w:val="21"/>
                      <w:szCs w:val="21"/>
                    </w:rPr>
                  </w:pPr>
                  <w:r>
                    <w:rPr>
                      <w:kern w:val="0"/>
                      <w:sz w:val="21"/>
                      <w:szCs w:val="21"/>
                    </w:rPr>
                    <w:t>CO</w:t>
                  </w:r>
                </w:p>
              </w:tc>
              <w:tc>
                <w:tcPr>
                  <w:tcW w:w="1459" w:type="pct"/>
                  <w:vAlign w:val="center"/>
                </w:tcPr>
                <w:p>
                  <w:pPr>
                    <w:jc w:val="center"/>
                    <w:rPr>
                      <w:sz w:val="21"/>
                      <w:szCs w:val="21"/>
                    </w:rPr>
                  </w:pPr>
                  <w:r>
                    <w:rPr>
                      <w:sz w:val="21"/>
                      <w:szCs w:val="21"/>
                    </w:rPr>
                    <w:t>95百分位24小时平均</w:t>
                  </w:r>
                </w:p>
              </w:tc>
              <w:tc>
                <w:tcPr>
                  <w:tcW w:w="652" w:type="pct"/>
                  <w:vAlign w:val="center"/>
                </w:tcPr>
                <w:p>
                  <w:pPr>
                    <w:adjustRightInd w:val="0"/>
                    <w:snapToGrid w:val="0"/>
                    <w:jc w:val="center"/>
                    <w:rPr>
                      <w:sz w:val="21"/>
                      <w:szCs w:val="21"/>
                    </w:rPr>
                  </w:pPr>
                  <w:r>
                    <w:rPr>
                      <w:sz w:val="21"/>
                      <w:szCs w:val="21"/>
                    </w:rPr>
                    <w:t>4000</w:t>
                  </w:r>
                </w:p>
              </w:tc>
              <w:tc>
                <w:tcPr>
                  <w:tcW w:w="625" w:type="pct"/>
                  <w:vAlign w:val="center"/>
                </w:tcPr>
                <w:p>
                  <w:pPr>
                    <w:adjustRightInd w:val="0"/>
                    <w:snapToGrid w:val="0"/>
                    <w:jc w:val="center"/>
                    <w:rPr>
                      <w:sz w:val="21"/>
                      <w:szCs w:val="21"/>
                    </w:rPr>
                  </w:pPr>
                  <w:r>
                    <w:rPr>
                      <w:sz w:val="21"/>
                      <w:szCs w:val="21"/>
                    </w:rPr>
                    <w:t>2800</w:t>
                  </w:r>
                </w:p>
              </w:tc>
              <w:tc>
                <w:tcPr>
                  <w:tcW w:w="703" w:type="pct"/>
                  <w:vAlign w:val="center"/>
                </w:tcPr>
                <w:p>
                  <w:pPr>
                    <w:adjustRightInd w:val="0"/>
                    <w:snapToGrid w:val="0"/>
                    <w:jc w:val="center"/>
                    <w:rPr>
                      <w:sz w:val="21"/>
                      <w:szCs w:val="21"/>
                    </w:rPr>
                  </w:pPr>
                  <w:r>
                    <w:rPr>
                      <w:sz w:val="21"/>
                      <w:szCs w:val="21"/>
                    </w:rPr>
                    <w:t>70.00</w:t>
                  </w:r>
                </w:p>
              </w:tc>
              <w:tc>
                <w:tcPr>
                  <w:tcW w:w="701" w:type="pct"/>
                  <w:vAlign w:val="center"/>
                </w:tcPr>
                <w:p>
                  <w:pPr>
                    <w:jc w:val="center"/>
                    <w:rPr>
                      <w:sz w:val="21"/>
                      <w:szCs w:val="21"/>
                    </w:rPr>
                  </w:pPr>
                  <w:r>
                    <w:rPr>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70" w:type="pct"/>
                  <w:vAlign w:val="center"/>
                </w:tcPr>
                <w:p>
                  <w:pPr>
                    <w:adjustRightInd w:val="0"/>
                    <w:snapToGrid w:val="0"/>
                    <w:jc w:val="center"/>
                    <w:rPr>
                      <w:sz w:val="21"/>
                      <w:szCs w:val="21"/>
                    </w:rPr>
                  </w:pPr>
                  <w:r>
                    <w:rPr>
                      <w:sz w:val="21"/>
                      <w:szCs w:val="21"/>
                    </w:rPr>
                    <w:t>6</w:t>
                  </w:r>
                </w:p>
              </w:tc>
              <w:tc>
                <w:tcPr>
                  <w:tcW w:w="486" w:type="pct"/>
                  <w:vAlign w:val="center"/>
                </w:tcPr>
                <w:p>
                  <w:pPr>
                    <w:adjustRightInd w:val="0"/>
                    <w:snapToGrid w:val="0"/>
                    <w:jc w:val="center"/>
                    <w:rPr>
                      <w:kern w:val="0"/>
                      <w:sz w:val="21"/>
                      <w:szCs w:val="21"/>
                    </w:rPr>
                  </w:pPr>
                  <w:r>
                    <w:rPr>
                      <w:kern w:val="0"/>
                      <w:sz w:val="21"/>
                      <w:szCs w:val="21"/>
                    </w:rPr>
                    <w:t>O</w:t>
                  </w:r>
                  <w:r>
                    <w:rPr>
                      <w:kern w:val="0"/>
                      <w:sz w:val="21"/>
                      <w:szCs w:val="21"/>
                      <w:vertAlign w:val="subscript"/>
                    </w:rPr>
                    <w:t>3</w:t>
                  </w:r>
                </w:p>
              </w:tc>
              <w:tc>
                <w:tcPr>
                  <w:tcW w:w="1459" w:type="pct"/>
                  <w:vAlign w:val="center"/>
                </w:tcPr>
                <w:p>
                  <w:pPr>
                    <w:jc w:val="center"/>
                    <w:rPr>
                      <w:sz w:val="21"/>
                      <w:szCs w:val="21"/>
                    </w:rPr>
                  </w:pPr>
                  <w:r>
                    <w:rPr>
                      <w:sz w:val="21"/>
                      <w:szCs w:val="21"/>
                    </w:rPr>
                    <w:t>90百分位8小时平均</w:t>
                  </w:r>
                </w:p>
              </w:tc>
              <w:tc>
                <w:tcPr>
                  <w:tcW w:w="652" w:type="pct"/>
                  <w:vAlign w:val="center"/>
                </w:tcPr>
                <w:p>
                  <w:pPr>
                    <w:adjustRightInd w:val="0"/>
                    <w:snapToGrid w:val="0"/>
                    <w:jc w:val="center"/>
                    <w:rPr>
                      <w:sz w:val="21"/>
                      <w:szCs w:val="21"/>
                    </w:rPr>
                  </w:pPr>
                  <w:r>
                    <w:rPr>
                      <w:sz w:val="21"/>
                      <w:szCs w:val="21"/>
                    </w:rPr>
                    <w:t>160</w:t>
                  </w:r>
                </w:p>
              </w:tc>
              <w:tc>
                <w:tcPr>
                  <w:tcW w:w="625" w:type="pct"/>
                  <w:vAlign w:val="center"/>
                </w:tcPr>
                <w:p>
                  <w:pPr>
                    <w:adjustRightInd w:val="0"/>
                    <w:snapToGrid w:val="0"/>
                    <w:jc w:val="center"/>
                    <w:rPr>
                      <w:sz w:val="21"/>
                      <w:szCs w:val="21"/>
                    </w:rPr>
                  </w:pPr>
                  <w:r>
                    <w:rPr>
                      <w:sz w:val="21"/>
                      <w:szCs w:val="21"/>
                    </w:rPr>
                    <w:t>132</w:t>
                  </w:r>
                </w:p>
              </w:tc>
              <w:tc>
                <w:tcPr>
                  <w:tcW w:w="703" w:type="pct"/>
                  <w:vAlign w:val="center"/>
                </w:tcPr>
                <w:p>
                  <w:pPr>
                    <w:adjustRightInd w:val="0"/>
                    <w:snapToGrid w:val="0"/>
                    <w:jc w:val="center"/>
                    <w:rPr>
                      <w:sz w:val="21"/>
                      <w:szCs w:val="21"/>
                    </w:rPr>
                  </w:pPr>
                  <w:r>
                    <w:rPr>
                      <w:sz w:val="21"/>
                      <w:szCs w:val="21"/>
                    </w:rPr>
                    <w:t>82.50</w:t>
                  </w:r>
                </w:p>
              </w:tc>
              <w:tc>
                <w:tcPr>
                  <w:tcW w:w="701" w:type="pct"/>
                  <w:vAlign w:val="center"/>
                </w:tcPr>
                <w:p>
                  <w:pPr>
                    <w:jc w:val="center"/>
                    <w:rPr>
                      <w:sz w:val="21"/>
                      <w:szCs w:val="21"/>
                    </w:rPr>
                  </w:pPr>
                  <w:r>
                    <w:rPr>
                      <w:sz w:val="21"/>
                      <w:szCs w:val="21"/>
                    </w:rPr>
                    <w:t>达标</w:t>
                  </w:r>
                </w:p>
              </w:tc>
            </w:tr>
          </w:tbl>
          <w:p>
            <w:pPr>
              <w:spacing w:before="120" w:beforeLines="50" w:line="360" w:lineRule="auto"/>
              <w:ind w:firstLine="480" w:firstLineChars="200"/>
              <w:rPr>
                <w:kern w:val="0"/>
              </w:rPr>
            </w:pPr>
            <w:r>
              <w:t>由上表可知，SO</w:t>
            </w:r>
            <w:r>
              <w:rPr>
                <w:vertAlign w:val="subscript"/>
              </w:rPr>
              <w:t>2</w:t>
            </w:r>
            <w:r>
              <w:t>、NO</w:t>
            </w:r>
            <w:r>
              <w:rPr>
                <w:vertAlign w:val="subscript"/>
              </w:rPr>
              <w:t>2</w:t>
            </w:r>
            <w:r>
              <w:t>年平均，CO的95百分位24小时平均、O</w:t>
            </w:r>
            <w:r>
              <w:rPr>
                <w:vertAlign w:val="subscript"/>
              </w:rPr>
              <w:t>3</w:t>
            </w:r>
            <w:r>
              <w:t>的90百分位8小时平均浓度值均满足《环境空气质量标准》（GB3095-2012）的二级标准，PM</w:t>
            </w:r>
            <w:r>
              <w:rPr>
                <w:vertAlign w:val="subscript"/>
              </w:rPr>
              <w:t>2.5</w:t>
            </w:r>
            <w:r>
              <w:t>、PM</w:t>
            </w:r>
            <w:r>
              <w:rPr>
                <w:vertAlign w:val="subscript"/>
              </w:rPr>
              <w:t>10</w:t>
            </w:r>
            <w:r>
              <w:t>年平均浓度超标，项目所在区域为不达标区域。</w:t>
            </w:r>
          </w:p>
          <w:p>
            <w:pPr>
              <w:spacing w:line="360" w:lineRule="auto"/>
              <w:rPr>
                <w:b/>
                <w:kern w:val="0"/>
              </w:rPr>
            </w:pPr>
            <w:r>
              <w:rPr>
                <w:b/>
                <w:kern w:val="0"/>
                <w:lang w:bidi="ar"/>
              </w:rPr>
              <w:t>2地表水质量现状调查与评价</w:t>
            </w:r>
          </w:p>
          <w:p>
            <w:pPr>
              <w:spacing w:line="360" w:lineRule="auto"/>
              <w:ind w:firstLine="480" w:firstLineChars="200"/>
              <w:rPr>
                <w:rFonts w:eastAsiaTheme="minorEastAsia"/>
                <w:color w:val="FF0000"/>
              </w:rPr>
            </w:pPr>
            <w:r>
              <w:rPr>
                <w:bCs/>
              </w:rPr>
              <w:t>根据《建设项目环境影响报告表编制技术指南（污染影响类）（试行）》要求“引用与建设项目距离近的有效数据，包括近3年的规划环境影响评价的监测数据，所在流域控制单元内国家、地方控制断面监测数据，生态环境主管部门发布的水环境质量数据或地表水达标情况的结论”，</w:t>
            </w:r>
            <w:r>
              <w:rPr>
                <w:kern w:val="0"/>
                <w:lang w:bidi="ar"/>
              </w:rPr>
              <w:t>根据本项目的周边3km的范围内调查，有一条恰克玛克河位于本项目的北侧，项目管线路径不穿越河流，管线最近处与河流相距约0.5km，</w:t>
            </w:r>
            <w:r>
              <w:rPr>
                <w:color w:val="FF0000"/>
                <w:kern w:val="0"/>
                <w:lang w:bidi="ar"/>
              </w:rPr>
              <w:t>且</w:t>
            </w:r>
            <w:r>
              <w:rPr>
                <w:rFonts w:hint="eastAsia"/>
                <w:color w:val="FF0000"/>
                <w:kern w:val="0"/>
                <w:lang w:bidi="ar"/>
              </w:rPr>
              <w:t>本工程线路至桩号K1+860处由北向南管线段的东侧80m处为麦兰孜渠，</w:t>
            </w:r>
            <w:r>
              <w:rPr>
                <w:rFonts w:hint="eastAsia"/>
                <w:color w:val="FF0000"/>
                <w:kern w:val="0"/>
                <w:lang w:val="en-US" w:eastAsia="zh-CN" w:bidi="ar"/>
              </w:rPr>
              <w:t>且</w:t>
            </w:r>
            <w:r>
              <w:rPr>
                <w:rFonts w:hint="eastAsia"/>
                <w:color w:val="FF0000"/>
                <w:kern w:val="0"/>
                <w:lang w:bidi="ar"/>
              </w:rPr>
              <w:t>项目试压废水直接依托货运港的污水处理设施通过管道接入排放，不会对该水渠产生影响</w:t>
            </w:r>
            <w:r>
              <w:rPr>
                <w:color w:val="FF0000"/>
                <w:kern w:val="0"/>
                <w:lang w:bidi="ar"/>
              </w:rPr>
              <w:t>本项目的污染，</w:t>
            </w:r>
            <w:r>
              <w:rPr>
                <w:color w:val="FF0000"/>
                <w:kern w:val="0"/>
              </w:rPr>
              <w:t>不与地表水发生直接水力联系，因此不开展地表水环境质量现状调查</w:t>
            </w:r>
            <w:r>
              <w:rPr>
                <w:rFonts w:eastAsiaTheme="minorEastAsia"/>
                <w:color w:val="FF0000"/>
              </w:rPr>
              <w:t>。</w:t>
            </w:r>
          </w:p>
          <w:p>
            <w:pPr>
              <w:spacing w:line="360" w:lineRule="auto"/>
              <w:rPr>
                <w:b/>
                <w:kern w:val="0"/>
              </w:rPr>
            </w:pPr>
            <w:r>
              <w:rPr>
                <w:b/>
                <w:kern w:val="0"/>
                <w:lang w:bidi="ar"/>
              </w:rPr>
              <w:t>3地下水、土壤环境质量现状调查及评价</w:t>
            </w:r>
          </w:p>
          <w:p>
            <w:pPr>
              <w:spacing w:line="360" w:lineRule="auto"/>
              <w:ind w:firstLine="480" w:firstLineChars="200"/>
              <w:rPr>
                <w:color w:val="FF0000"/>
                <w:kern w:val="0"/>
                <w:lang w:bidi="ar"/>
              </w:rPr>
            </w:pPr>
            <w:r>
              <w:rPr>
                <w:bCs/>
                <w:color w:val="FF0000"/>
              </w:rPr>
              <w:t>依据《建设项目环境影响报告表编制技术指南（生态影响类）（试行）》中</w:t>
            </w:r>
            <w:r>
              <w:rPr>
                <w:rFonts w:hint="eastAsia"/>
                <w:bCs/>
                <w:color w:val="FF0000"/>
              </w:rPr>
              <w:t>无相关数据的，大气、固定声源环境质量现状监测参照《建设项目环境影响报告表编制技术指南（污染影响类）》（试行）相关规定开展补充监测，水、生态、土壤等其他环境要素参照环境影响评价相关技术导则开展补充监测和调查</w:t>
            </w:r>
            <w:r>
              <w:rPr>
                <w:bCs/>
                <w:color w:val="FF0000"/>
              </w:rPr>
              <w:t>。本项目为航空货运区建设项目</w:t>
            </w:r>
            <w:r>
              <w:rPr>
                <w:rFonts w:hint="eastAsia"/>
                <w:bCs/>
                <w:color w:val="FF0000"/>
                <w:lang w:eastAsia="zh-CN"/>
              </w:rPr>
              <w:t>和</w:t>
            </w:r>
            <w:r>
              <w:rPr>
                <w:bCs/>
                <w:color w:val="FF0000"/>
              </w:rPr>
              <w:t>燃气管道建设项目，</w:t>
            </w:r>
            <w:r>
              <w:rPr>
                <w:rFonts w:hint="eastAsia"/>
                <w:bCs/>
                <w:color w:val="FF0000"/>
              </w:rPr>
              <w:t>根据《环境影响评价技术导则 地下水环境》（HJ610-2016）中4.1一般性原则，根据建设项目对地下水环境影响的程度，结合《建设项目环境影响评价分类管理名录》将建设项目分为四类，详见附录A，本工程行业类别为：“F石油、天然气—41、石油、天然气、成品油管线（不含城市天然气管线）”，地下水环境影响评价项目类别为Ⅳ类。Ⅰ类、Ⅱ类、Ⅲ类建设项目的地下水环境影响评价应执行本标准，Ⅳ类建设项目不展开地下水环境影响评价，故本工程可不展开地下水环境影响评价</w:t>
            </w:r>
            <w:r>
              <w:rPr>
                <w:rFonts w:hint="eastAsia"/>
                <w:bCs/>
                <w:color w:val="FF0000"/>
                <w:lang w:eastAsia="zh-CN"/>
              </w:rPr>
              <w:t>；根据《环境影响评价技术导则 土壤环境（试行）》（HJ964-2018）中“4.2.2根据行业特征、工艺特点或规模大小等将建设项目类别分为Ⅰ类、Ⅱ类、Ⅲ类、Ⅳ类，其中Ⅳ类建设项目可不展开土壤环境影响评价；自身为敏感目标的建设项目，可根据需要仅对土壤现状进行调查”，本项目自身不属于敏感目标，属于附录A中Ⅳ类项目，因此，本项目土壤不展开土壤环境影响评价</w:t>
            </w:r>
            <w:r>
              <w:rPr>
                <w:bCs/>
                <w:color w:val="FF0000"/>
              </w:rPr>
              <w:t>。</w:t>
            </w:r>
          </w:p>
          <w:p>
            <w:pPr>
              <w:spacing w:line="360" w:lineRule="auto"/>
              <w:rPr>
                <w:b/>
              </w:rPr>
            </w:pPr>
            <w:r>
              <w:rPr>
                <w:b/>
                <w:kern w:val="0"/>
                <w:lang w:bidi="ar"/>
              </w:rPr>
              <w:t xml:space="preserve">4声环境质量现状调查与评价 </w:t>
            </w:r>
          </w:p>
          <w:p>
            <w:pPr>
              <w:spacing w:line="360" w:lineRule="auto"/>
              <w:ind w:firstLine="480" w:firstLineChars="200"/>
            </w:pPr>
            <w:r>
              <w:rPr>
                <w:kern w:val="0"/>
                <w:lang w:bidi="ar"/>
              </w:rPr>
              <w:t>（1）监测方法及监测点位布设</w:t>
            </w:r>
          </w:p>
          <w:p>
            <w:pPr>
              <w:spacing w:line="360" w:lineRule="auto"/>
              <w:ind w:firstLine="480" w:firstLineChars="200"/>
              <w:rPr>
                <w:kern w:val="0"/>
              </w:rPr>
            </w:pPr>
            <w:r>
              <w:rPr>
                <w:kern w:val="0"/>
                <w:lang w:bidi="ar"/>
              </w:rPr>
              <w:t>依照《声环境质量标准》（GB3096-2008）进行噪声监测，监测仪器使用AWA5680型多功能声级计，监测前用声级校准器进行校准，测量时传声器距地面1.2m，传声器戴风罩。</w:t>
            </w:r>
          </w:p>
          <w:p>
            <w:pPr>
              <w:spacing w:line="360" w:lineRule="auto"/>
              <w:ind w:firstLine="480" w:firstLineChars="200"/>
            </w:pPr>
            <w:r>
              <w:rPr>
                <w:kern w:val="0"/>
                <w:lang w:bidi="ar"/>
              </w:rPr>
              <w:t>根据本工程所在位置、所在区域声环境功能及当地气象、地形等因素，本次环评采用新疆腾龙环境监测有限公司监测报告公司，于2023年11月24日至25日对项目区沿线的监测数据作为本工程声环境质量现状评价依据，分昼、夜两时段监测的数据，监测点位见附图</w:t>
            </w:r>
            <w:r>
              <w:rPr>
                <w:rFonts w:hint="eastAsia"/>
                <w:kern w:val="0"/>
                <w:lang w:val="en-US" w:eastAsia="zh-CN" w:bidi="ar"/>
              </w:rPr>
              <w:t>7</w:t>
            </w:r>
            <w:r>
              <w:rPr>
                <w:kern w:val="0"/>
                <w:lang w:bidi="ar"/>
              </w:rPr>
              <w:t>。</w:t>
            </w:r>
          </w:p>
          <w:p>
            <w:pPr>
              <w:spacing w:line="360" w:lineRule="auto"/>
              <w:ind w:firstLine="480" w:firstLineChars="200"/>
              <w:rPr>
                <w:kern w:val="0"/>
              </w:rPr>
            </w:pPr>
            <w:r>
              <w:rPr>
                <w:kern w:val="0"/>
                <w:lang w:bidi="ar"/>
              </w:rPr>
              <w:t>（2）评价标准</w:t>
            </w:r>
          </w:p>
          <w:p>
            <w:pPr>
              <w:spacing w:line="360" w:lineRule="auto"/>
              <w:ind w:firstLine="480" w:firstLineChars="200"/>
            </w:pPr>
            <w:r>
              <w:rPr>
                <w:kern w:val="0"/>
                <w:lang w:bidi="ar"/>
              </w:rPr>
              <w:t>根据《声环境质量标准》适用区域划分规定，项目所在区域属Ⅲ类标准适用区，执行《声环境质量标准》（GB3096-2008）中3类区标准，即昼间65dB（A），夜间55dB（A）。</w:t>
            </w:r>
          </w:p>
          <w:p>
            <w:pPr>
              <w:spacing w:line="360" w:lineRule="auto"/>
              <w:ind w:firstLine="480" w:firstLineChars="200"/>
            </w:pPr>
            <w:r>
              <w:rPr>
                <w:kern w:val="0"/>
                <w:lang w:bidi="ar"/>
              </w:rPr>
              <w:t>（3）监测数据及评价结果</w:t>
            </w:r>
          </w:p>
          <w:p>
            <w:pPr>
              <w:topLinePunct/>
              <w:spacing w:line="360" w:lineRule="auto"/>
              <w:ind w:firstLine="480" w:firstLineChars="200"/>
              <w:rPr>
                <w:b/>
              </w:rPr>
            </w:pPr>
            <w:r>
              <w:rPr>
                <w:kern w:val="0"/>
                <w:lang w:bidi="ar"/>
              </w:rPr>
              <w:t>项目区噪声监测结果见表3-</w:t>
            </w:r>
            <w:r>
              <w:rPr>
                <w:rFonts w:hint="eastAsia"/>
                <w:kern w:val="0"/>
                <w:lang w:val="en-US" w:eastAsia="zh-CN" w:bidi="ar"/>
              </w:rPr>
              <w:t>2</w:t>
            </w:r>
            <w:r>
              <w:rPr>
                <w:kern w:val="0"/>
                <w:lang w:bidi="ar"/>
              </w:rPr>
              <w:t>。</w:t>
            </w:r>
          </w:p>
          <w:p>
            <w:pPr>
              <w:topLinePunct/>
              <w:adjustRightInd w:val="0"/>
              <w:snapToGrid w:val="0"/>
              <w:jc w:val="center"/>
              <w:rPr>
                <w:b/>
                <w:sz w:val="21"/>
                <w:szCs w:val="21"/>
              </w:rPr>
            </w:pPr>
            <w:r>
              <w:rPr>
                <w:b/>
                <w:sz w:val="21"/>
                <w:szCs w:val="21"/>
                <w:lang w:bidi="ar"/>
              </w:rPr>
              <w:t>表3-</w:t>
            </w:r>
            <w:r>
              <w:rPr>
                <w:rFonts w:hint="eastAsia"/>
                <w:b/>
                <w:sz w:val="21"/>
                <w:szCs w:val="21"/>
                <w:lang w:val="en-US" w:eastAsia="zh-CN" w:bidi="ar"/>
              </w:rPr>
              <w:t>2</w:t>
            </w:r>
            <w:r>
              <w:rPr>
                <w:b/>
                <w:sz w:val="21"/>
                <w:szCs w:val="21"/>
                <w:lang w:bidi="ar"/>
              </w:rPr>
              <w:t xml:space="preserve">    评价区环境噪声现状及评价结果  单位：dB（A）</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666"/>
              <w:gridCol w:w="1380"/>
              <w:gridCol w:w="635"/>
              <w:gridCol w:w="805"/>
              <w:gridCol w:w="894"/>
              <w:gridCol w:w="1380"/>
              <w:gridCol w:w="810"/>
              <w:gridCol w:w="810"/>
              <w:gridCol w:w="73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40" w:hRule="atLeast"/>
                <w:jc w:val="center"/>
              </w:trPr>
              <w:tc>
                <w:tcPr>
                  <w:tcW w:w="913"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监测</w:t>
                  </w:r>
                </w:p>
                <w:p>
                  <w:pPr>
                    <w:adjustRightInd w:val="0"/>
                    <w:snapToGrid w:val="0"/>
                    <w:jc w:val="center"/>
                    <w:rPr>
                      <w:b/>
                      <w:sz w:val="21"/>
                      <w:szCs w:val="21"/>
                    </w:rPr>
                  </w:pPr>
                  <w:r>
                    <w:rPr>
                      <w:b/>
                      <w:sz w:val="21"/>
                      <w:szCs w:val="21"/>
                      <w:lang w:bidi="ar"/>
                    </w:rPr>
                    <w:t>点位</w:t>
                  </w:r>
                </w:p>
              </w:tc>
              <w:tc>
                <w:tcPr>
                  <w:tcW w:w="756"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监测时间</w:t>
                  </w:r>
                </w:p>
              </w:tc>
              <w:tc>
                <w:tcPr>
                  <w:tcW w:w="348"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标准</w:t>
                  </w:r>
                </w:p>
              </w:tc>
              <w:tc>
                <w:tcPr>
                  <w:tcW w:w="441"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监测</w:t>
                  </w:r>
                </w:p>
                <w:p>
                  <w:pPr>
                    <w:adjustRightInd w:val="0"/>
                    <w:snapToGrid w:val="0"/>
                    <w:jc w:val="center"/>
                    <w:rPr>
                      <w:b/>
                      <w:sz w:val="21"/>
                      <w:szCs w:val="21"/>
                    </w:rPr>
                  </w:pPr>
                  <w:r>
                    <w:rPr>
                      <w:b/>
                      <w:sz w:val="21"/>
                      <w:szCs w:val="21"/>
                      <w:lang w:bidi="ar"/>
                    </w:rPr>
                    <w:t>结果</w:t>
                  </w:r>
                </w:p>
              </w:tc>
              <w:tc>
                <w:tcPr>
                  <w:tcW w:w="490"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评价</w:t>
                  </w:r>
                </w:p>
                <w:p>
                  <w:pPr>
                    <w:adjustRightInd w:val="0"/>
                    <w:snapToGrid w:val="0"/>
                    <w:jc w:val="center"/>
                    <w:rPr>
                      <w:b/>
                      <w:sz w:val="21"/>
                      <w:szCs w:val="21"/>
                    </w:rPr>
                  </w:pPr>
                  <w:r>
                    <w:rPr>
                      <w:b/>
                      <w:sz w:val="21"/>
                      <w:szCs w:val="21"/>
                      <w:lang w:bidi="ar"/>
                    </w:rPr>
                    <w:t>结果</w:t>
                  </w:r>
                </w:p>
              </w:tc>
              <w:tc>
                <w:tcPr>
                  <w:tcW w:w="756" w:type="pct"/>
                  <w:tcBorders>
                    <w:tl2br w:val="nil"/>
                    <w:tr2bl w:val="nil"/>
                  </w:tcBorders>
                  <w:shd w:val="clear" w:color="auto" w:fill="auto"/>
                  <w:vAlign w:val="center"/>
                </w:tcPr>
                <w:p>
                  <w:pPr>
                    <w:adjustRightInd w:val="0"/>
                    <w:snapToGrid w:val="0"/>
                    <w:jc w:val="center"/>
                    <w:rPr>
                      <w:b/>
                      <w:sz w:val="21"/>
                      <w:szCs w:val="21"/>
                      <w:lang w:bidi="ar"/>
                    </w:rPr>
                  </w:pPr>
                  <w:r>
                    <w:rPr>
                      <w:b/>
                      <w:sz w:val="21"/>
                      <w:szCs w:val="21"/>
                      <w:lang w:bidi="ar"/>
                    </w:rPr>
                    <w:t>监测时间</w:t>
                  </w:r>
                </w:p>
              </w:tc>
              <w:tc>
                <w:tcPr>
                  <w:tcW w:w="444"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标准</w:t>
                  </w:r>
                </w:p>
              </w:tc>
              <w:tc>
                <w:tcPr>
                  <w:tcW w:w="444"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监测</w:t>
                  </w:r>
                </w:p>
                <w:p>
                  <w:pPr>
                    <w:adjustRightInd w:val="0"/>
                    <w:snapToGrid w:val="0"/>
                    <w:jc w:val="center"/>
                    <w:rPr>
                      <w:b/>
                      <w:sz w:val="21"/>
                      <w:szCs w:val="21"/>
                    </w:rPr>
                  </w:pPr>
                  <w:r>
                    <w:rPr>
                      <w:b/>
                      <w:sz w:val="21"/>
                      <w:szCs w:val="21"/>
                      <w:lang w:bidi="ar"/>
                    </w:rPr>
                    <w:t>结果</w:t>
                  </w:r>
                </w:p>
              </w:tc>
              <w:tc>
                <w:tcPr>
                  <w:tcW w:w="403" w:type="pct"/>
                  <w:tcBorders>
                    <w:tl2br w:val="nil"/>
                    <w:tr2bl w:val="nil"/>
                  </w:tcBorders>
                  <w:shd w:val="clear" w:color="auto" w:fill="auto"/>
                  <w:vAlign w:val="center"/>
                </w:tcPr>
                <w:p>
                  <w:pPr>
                    <w:adjustRightInd w:val="0"/>
                    <w:snapToGrid w:val="0"/>
                    <w:jc w:val="center"/>
                    <w:rPr>
                      <w:b/>
                      <w:sz w:val="21"/>
                      <w:szCs w:val="21"/>
                    </w:rPr>
                  </w:pPr>
                  <w:r>
                    <w:rPr>
                      <w:b/>
                      <w:sz w:val="21"/>
                      <w:szCs w:val="21"/>
                      <w:lang w:bidi="ar"/>
                    </w:rPr>
                    <w:t>评价结果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12" w:hRule="atLeast"/>
                <w:jc w:val="center"/>
              </w:trPr>
              <w:tc>
                <w:tcPr>
                  <w:tcW w:w="913" w:type="pct"/>
                  <w:tcBorders>
                    <w:tl2br w:val="nil"/>
                    <w:tr2bl w:val="nil"/>
                  </w:tcBorders>
                  <w:shd w:val="clear" w:color="auto" w:fill="auto"/>
                  <w:vAlign w:val="center"/>
                </w:tcPr>
                <w:p>
                  <w:pPr>
                    <w:adjustRightInd w:val="0"/>
                    <w:snapToGrid w:val="0"/>
                    <w:jc w:val="center"/>
                    <w:rPr>
                      <w:sz w:val="21"/>
                      <w:szCs w:val="21"/>
                    </w:rPr>
                  </w:pPr>
                  <w:r>
                    <w:rPr>
                      <w:sz w:val="21"/>
                      <w:szCs w:val="21"/>
                    </w:rPr>
                    <w:t>项目沿线（起点靠近阀井）1#</w:t>
                  </w:r>
                </w:p>
              </w:tc>
              <w:tc>
                <w:tcPr>
                  <w:tcW w:w="756" w:type="pct"/>
                  <w:tcBorders>
                    <w:tl2br w:val="nil"/>
                    <w:tr2bl w:val="nil"/>
                  </w:tcBorders>
                  <w:shd w:val="clear" w:color="auto" w:fill="auto"/>
                  <w:vAlign w:val="center"/>
                </w:tcPr>
                <w:p>
                  <w:pPr>
                    <w:jc w:val="center"/>
                    <w:rPr>
                      <w:sz w:val="21"/>
                      <w:szCs w:val="21"/>
                    </w:rPr>
                  </w:pPr>
                  <w:r>
                    <w:rPr>
                      <w:sz w:val="21"/>
                      <w:szCs w:val="21"/>
                      <w:lang w:bidi="ar"/>
                    </w:rPr>
                    <w:t>2023.11.24（17:12）</w:t>
                  </w:r>
                </w:p>
              </w:tc>
              <w:tc>
                <w:tcPr>
                  <w:tcW w:w="348" w:type="pct"/>
                  <w:vMerge w:val="restart"/>
                  <w:tcBorders>
                    <w:tl2br w:val="nil"/>
                    <w:tr2bl w:val="nil"/>
                  </w:tcBorders>
                  <w:shd w:val="clear" w:color="auto" w:fill="auto"/>
                  <w:vAlign w:val="center"/>
                </w:tcPr>
                <w:p>
                  <w:pPr>
                    <w:adjustRightInd w:val="0"/>
                    <w:snapToGrid w:val="0"/>
                    <w:jc w:val="center"/>
                    <w:rPr>
                      <w:sz w:val="21"/>
                      <w:szCs w:val="21"/>
                    </w:rPr>
                  </w:pPr>
                  <w:r>
                    <w:rPr>
                      <w:sz w:val="21"/>
                      <w:szCs w:val="21"/>
                      <w:lang w:bidi="ar"/>
                    </w:rPr>
                    <w:t>65</w:t>
                  </w:r>
                </w:p>
              </w:tc>
              <w:tc>
                <w:tcPr>
                  <w:tcW w:w="441" w:type="pct"/>
                  <w:tcBorders>
                    <w:tl2br w:val="nil"/>
                    <w:tr2bl w:val="nil"/>
                  </w:tcBorders>
                  <w:shd w:val="clear" w:color="auto" w:fill="auto"/>
                  <w:vAlign w:val="center"/>
                </w:tcPr>
                <w:p>
                  <w:pPr>
                    <w:widowControl/>
                    <w:jc w:val="center"/>
                    <w:textAlignment w:val="center"/>
                    <w:rPr>
                      <w:sz w:val="21"/>
                      <w:szCs w:val="21"/>
                    </w:rPr>
                  </w:pPr>
                  <w:r>
                    <w:rPr>
                      <w:sz w:val="21"/>
                      <w:szCs w:val="21"/>
                      <w:lang w:bidi="ar"/>
                    </w:rPr>
                    <w:t>46</w:t>
                  </w:r>
                </w:p>
              </w:tc>
              <w:tc>
                <w:tcPr>
                  <w:tcW w:w="490" w:type="pct"/>
                  <w:vMerge w:val="restart"/>
                  <w:tcBorders>
                    <w:tl2br w:val="nil"/>
                    <w:tr2bl w:val="nil"/>
                  </w:tcBorders>
                  <w:shd w:val="clear" w:color="auto" w:fill="auto"/>
                  <w:vAlign w:val="center"/>
                </w:tcPr>
                <w:p>
                  <w:pPr>
                    <w:adjustRightInd w:val="0"/>
                    <w:snapToGrid w:val="0"/>
                    <w:jc w:val="center"/>
                    <w:rPr>
                      <w:sz w:val="21"/>
                      <w:szCs w:val="21"/>
                    </w:rPr>
                  </w:pPr>
                  <w:r>
                    <w:rPr>
                      <w:sz w:val="21"/>
                      <w:szCs w:val="21"/>
                      <w:lang w:bidi="ar"/>
                    </w:rPr>
                    <w:t>达标</w:t>
                  </w:r>
                </w:p>
              </w:tc>
              <w:tc>
                <w:tcPr>
                  <w:tcW w:w="756" w:type="pct"/>
                  <w:tcBorders>
                    <w:tl2br w:val="nil"/>
                    <w:tr2bl w:val="nil"/>
                  </w:tcBorders>
                  <w:shd w:val="clear" w:color="auto" w:fill="auto"/>
                  <w:vAlign w:val="center"/>
                </w:tcPr>
                <w:p>
                  <w:pPr>
                    <w:jc w:val="center"/>
                    <w:rPr>
                      <w:sz w:val="21"/>
                      <w:szCs w:val="21"/>
                      <w:lang w:bidi="ar"/>
                    </w:rPr>
                  </w:pPr>
                  <w:r>
                    <w:rPr>
                      <w:sz w:val="21"/>
                      <w:szCs w:val="21"/>
                      <w:lang w:bidi="ar"/>
                    </w:rPr>
                    <w:t>2023.11.25（00:14）</w:t>
                  </w:r>
                </w:p>
              </w:tc>
              <w:tc>
                <w:tcPr>
                  <w:tcW w:w="444" w:type="pct"/>
                  <w:vMerge w:val="restart"/>
                  <w:tcBorders>
                    <w:tl2br w:val="nil"/>
                    <w:tr2bl w:val="nil"/>
                  </w:tcBorders>
                  <w:shd w:val="clear" w:color="auto" w:fill="auto"/>
                  <w:vAlign w:val="center"/>
                </w:tcPr>
                <w:p>
                  <w:pPr>
                    <w:adjustRightInd w:val="0"/>
                    <w:snapToGrid w:val="0"/>
                    <w:jc w:val="center"/>
                    <w:rPr>
                      <w:sz w:val="21"/>
                      <w:szCs w:val="21"/>
                    </w:rPr>
                  </w:pPr>
                  <w:r>
                    <w:rPr>
                      <w:sz w:val="21"/>
                      <w:szCs w:val="21"/>
                      <w:lang w:bidi="ar"/>
                    </w:rPr>
                    <w:t>55</w:t>
                  </w:r>
                </w:p>
              </w:tc>
              <w:tc>
                <w:tcPr>
                  <w:tcW w:w="444" w:type="pct"/>
                  <w:tcBorders>
                    <w:tl2br w:val="nil"/>
                    <w:tr2bl w:val="nil"/>
                  </w:tcBorders>
                  <w:shd w:val="clear" w:color="auto" w:fill="auto"/>
                  <w:vAlign w:val="center"/>
                </w:tcPr>
                <w:p>
                  <w:pPr>
                    <w:widowControl/>
                    <w:jc w:val="center"/>
                    <w:textAlignment w:val="center"/>
                    <w:rPr>
                      <w:sz w:val="21"/>
                      <w:szCs w:val="21"/>
                    </w:rPr>
                  </w:pPr>
                  <w:r>
                    <w:rPr>
                      <w:sz w:val="21"/>
                      <w:szCs w:val="21"/>
                      <w:lang w:bidi="ar"/>
                    </w:rPr>
                    <w:t>44</w:t>
                  </w:r>
                </w:p>
              </w:tc>
              <w:tc>
                <w:tcPr>
                  <w:tcW w:w="403" w:type="pct"/>
                  <w:vMerge w:val="restart"/>
                  <w:tcBorders>
                    <w:tl2br w:val="nil"/>
                    <w:tr2bl w:val="nil"/>
                  </w:tcBorders>
                  <w:shd w:val="clear" w:color="auto" w:fill="auto"/>
                  <w:vAlign w:val="center"/>
                </w:tcPr>
                <w:p>
                  <w:pPr>
                    <w:adjustRightInd w:val="0"/>
                    <w:snapToGrid w:val="0"/>
                    <w:jc w:val="center"/>
                    <w:rPr>
                      <w:sz w:val="21"/>
                      <w:szCs w:val="21"/>
                    </w:rPr>
                  </w:pPr>
                  <w:r>
                    <w:rPr>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40" w:hRule="atLeast"/>
                <w:jc w:val="center"/>
              </w:trPr>
              <w:tc>
                <w:tcPr>
                  <w:tcW w:w="913" w:type="pct"/>
                  <w:tcBorders>
                    <w:tl2br w:val="nil"/>
                    <w:tr2bl w:val="nil"/>
                  </w:tcBorders>
                  <w:shd w:val="clear" w:color="auto" w:fill="auto"/>
                  <w:vAlign w:val="center"/>
                </w:tcPr>
                <w:p>
                  <w:pPr>
                    <w:jc w:val="center"/>
                    <w:rPr>
                      <w:sz w:val="21"/>
                      <w:szCs w:val="21"/>
                    </w:rPr>
                  </w:pPr>
                  <w:r>
                    <w:rPr>
                      <w:sz w:val="21"/>
                      <w:szCs w:val="21"/>
                    </w:rPr>
                    <w:t>项目沿线（KA1+860拐点）2#</w:t>
                  </w:r>
                </w:p>
              </w:tc>
              <w:tc>
                <w:tcPr>
                  <w:tcW w:w="756" w:type="pct"/>
                  <w:tcBorders>
                    <w:tl2br w:val="nil"/>
                    <w:tr2bl w:val="nil"/>
                  </w:tcBorders>
                  <w:shd w:val="clear" w:color="auto" w:fill="auto"/>
                  <w:vAlign w:val="center"/>
                </w:tcPr>
                <w:p>
                  <w:pPr>
                    <w:jc w:val="center"/>
                    <w:rPr>
                      <w:sz w:val="21"/>
                      <w:szCs w:val="21"/>
                    </w:rPr>
                  </w:pPr>
                  <w:r>
                    <w:rPr>
                      <w:sz w:val="21"/>
                      <w:szCs w:val="21"/>
                      <w:lang w:bidi="ar"/>
                    </w:rPr>
                    <w:t>2023.11.24（17:48）</w:t>
                  </w:r>
                </w:p>
              </w:tc>
              <w:tc>
                <w:tcPr>
                  <w:tcW w:w="348" w:type="pct"/>
                  <w:vMerge w:val="continue"/>
                  <w:tcBorders>
                    <w:tl2br w:val="nil"/>
                    <w:tr2bl w:val="nil"/>
                  </w:tcBorders>
                  <w:shd w:val="clear" w:color="auto" w:fill="auto"/>
                  <w:vAlign w:val="center"/>
                </w:tcPr>
                <w:p>
                  <w:pPr>
                    <w:rPr>
                      <w:sz w:val="21"/>
                      <w:szCs w:val="21"/>
                    </w:rPr>
                  </w:pPr>
                </w:p>
              </w:tc>
              <w:tc>
                <w:tcPr>
                  <w:tcW w:w="441" w:type="pct"/>
                  <w:tcBorders>
                    <w:tl2br w:val="nil"/>
                    <w:tr2bl w:val="nil"/>
                  </w:tcBorders>
                  <w:shd w:val="clear" w:color="auto" w:fill="auto"/>
                  <w:vAlign w:val="center"/>
                </w:tcPr>
                <w:p>
                  <w:pPr>
                    <w:widowControl/>
                    <w:jc w:val="center"/>
                    <w:textAlignment w:val="center"/>
                    <w:rPr>
                      <w:sz w:val="21"/>
                      <w:szCs w:val="21"/>
                    </w:rPr>
                  </w:pPr>
                  <w:r>
                    <w:rPr>
                      <w:sz w:val="21"/>
                      <w:szCs w:val="21"/>
                      <w:lang w:bidi="ar"/>
                    </w:rPr>
                    <w:t>52</w:t>
                  </w:r>
                </w:p>
              </w:tc>
              <w:tc>
                <w:tcPr>
                  <w:tcW w:w="490" w:type="pct"/>
                  <w:vMerge w:val="continue"/>
                  <w:tcBorders>
                    <w:tl2br w:val="nil"/>
                    <w:tr2bl w:val="nil"/>
                  </w:tcBorders>
                  <w:shd w:val="clear" w:color="auto" w:fill="auto"/>
                  <w:vAlign w:val="center"/>
                </w:tcPr>
                <w:p>
                  <w:pPr>
                    <w:rPr>
                      <w:sz w:val="21"/>
                      <w:szCs w:val="21"/>
                    </w:rPr>
                  </w:pPr>
                </w:p>
              </w:tc>
              <w:tc>
                <w:tcPr>
                  <w:tcW w:w="756" w:type="pct"/>
                  <w:tcBorders>
                    <w:tl2br w:val="nil"/>
                    <w:tr2bl w:val="nil"/>
                  </w:tcBorders>
                  <w:shd w:val="clear" w:color="auto" w:fill="auto"/>
                  <w:vAlign w:val="center"/>
                </w:tcPr>
                <w:p>
                  <w:pPr>
                    <w:jc w:val="center"/>
                    <w:rPr>
                      <w:sz w:val="21"/>
                      <w:szCs w:val="21"/>
                    </w:rPr>
                  </w:pPr>
                  <w:r>
                    <w:rPr>
                      <w:sz w:val="21"/>
                      <w:szCs w:val="21"/>
                      <w:lang w:bidi="ar"/>
                    </w:rPr>
                    <w:t>2023.11.25（00:28）</w:t>
                  </w:r>
                </w:p>
              </w:tc>
              <w:tc>
                <w:tcPr>
                  <w:tcW w:w="444" w:type="pct"/>
                  <w:vMerge w:val="continue"/>
                  <w:tcBorders>
                    <w:tl2br w:val="nil"/>
                    <w:tr2bl w:val="nil"/>
                  </w:tcBorders>
                  <w:shd w:val="clear" w:color="auto" w:fill="auto"/>
                  <w:vAlign w:val="center"/>
                </w:tcPr>
                <w:p>
                  <w:pPr>
                    <w:rPr>
                      <w:sz w:val="21"/>
                      <w:szCs w:val="21"/>
                    </w:rPr>
                  </w:pPr>
                </w:p>
              </w:tc>
              <w:tc>
                <w:tcPr>
                  <w:tcW w:w="444" w:type="pct"/>
                  <w:tcBorders>
                    <w:tl2br w:val="nil"/>
                    <w:tr2bl w:val="nil"/>
                  </w:tcBorders>
                  <w:shd w:val="clear" w:color="auto" w:fill="auto"/>
                  <w:vAlign w:val="center"/>
                </w:tcPr>
                <w:p>
                  <w:pPr>
                    <w:widowControl/>
                    <w:jc w:val="center"/>
                    <w:textAlignment w:val="center"/>
                    <w:rPr>
                      <w:sz w:val="21"/>
                      <w:szCs w:val="21"/>
                    </w:rPr>
                  </w:pPr>
                  <w:r>
                    <w:rPr>
                      <w:sz w:val="21"/>
                      <w:szCs w:val="21"/>
                      <w:lang w:bidi="ar"/>
                    </w:rPr>
                    <w:t>46</w:t>
                  </w:r>
                </w:p>
              </w:tc>
              <w:tc>
                <w:tcPr>
                  <w:tcW w:w="403" w:type="pct"/>
                  <w:vMerge w:val="continue"/>
                  <w:tcBorders>
                    <w:tl2br w:val="nil"/>
                    <w:tr2bl w:val="nil"/>
                  </w:tcBorders>
                  <w:shd w:val="clear" w:color="auto" w:fill="auto"/>
                  <w:vAlign w:val="center"/>
                </w:tcPr>
                <w:p>
                  <w:pPr>
                    <w:rPr>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40" w:hRule="atLeast"/>
                <w:jc w:val="center"/>
              </w:trPr>
              <w:tc>
                <w:tcPr>
                  <w:tcW w:w="913" w:type="pct"/>
                  <w:tcBorders>
                    <w:tl2br w:val="nil"/>
                    <w:tr2bl w:val="nil"/>
                  </w:tcBorders>
                  <w:shd w:val="clear" w:color="auto" w:fill="auto"/>
                  <w:vAlign w:val="center"/>
                </w:tcPr>
                <w:p>
                  <w:pPr>
                    <w:jc w:val="center"/>
                    <w:rPr>
                      <w:sz w:val="21"/>
                      <w:szCs w:val="21"/>
                    </w:rPr>
                  </w:pPr>
                  <w:r>
                    <w:rPr>
                      <w:sz w:val="21"/>
                      <w:szCs w:val="21"/>
                    </w:rPr>
                    <w:t>项目沿线（kA2+700拐点）3#</w:t>
                  </w:r>
                </w:p>
              </w:tc>
              <w:tc>
                <w:tcPr>
                  <w:tcW w:w="756" w:type="pct"/>
                  <w:tcBorders>
                    <w:tl2br w:val="nil"/>
                    <w:tr2bl w:val="nil"/>
                  </w:tcBorders>
                  <w:shd w:val="clear" w:color="auto" w:fill="auto"/>
                  <w:vAlign w:val="center"/>
                </w:tcPr>
                <w:p>
                  <w:pPr>
                    <w:jc w:val="center"/>
                    <w:rPr>
                      <w:sz w:val="21"/>
                      <w:szCs w:val="21"/>
                    </w:rPr>
                  </w:pPr>
                  <w:r>
                    <w:rPr>
                      <w:sz w:val="21"/>
                      <w:szCs w:val="21"/>
                      <w:lang w:bidi="ar"/>
                    </w:rPr>
                    <w:t>2023.11.24（18:09）</w:t>
                  </w:r>
                </w:p>
              </w:tc>
              <w:tc>
                <w:tcPr>
                  <w:tcW w:w="348" w:type="pct"/>
                  <w:vMerge w:val="continue"/>
                  <w:tcBorders>
                    <w:tl2br w:val="nil"/>
                    <w:tr2bl w:val="nil"/>
                  </w:tcBorders>
                  <w:shd w:val="clear" w:color="auto" w:fill="auto"/>
                  <w:vAlign w:val="center"/>
                </w:tcPr>
                <w:p>
                  <w:pPr>
                    <w:rPr>
                      <w:sz w:val="21"/>
                      <w:szCs w:val="21"/>
                    </w:rPr>
                  </w:pPr>
                </w:p>
              </w:tc>
              <w:tc>
                <w:tcPr>
                  <w:tcW w:w="441" w:type="pct"/>
                  <w:tcBorders>
                    <w:tl2br w:val="nil"/>
                    <w:tr2bl w:val="nil"/>
                  </w:tcBorders>
                  <w:shd w:val="clear" w:color="auto" w:fill="auto"/>
                  <w:vAlign w:val="center"/>
                </w:tcPr>
                <w:p>
                  <w:pPr>
                    <w:widowControl/>
                    <w:jc w:val="center"/>
                    <w:textAlignment w:val="center"/>
                    <w:rPr>
                      <w:sz w:val="21"/>
                      <w:szCs w:val="21"/>
                    </w:rPr>
                  </w:pPr>
                  <w:r>
                    <w:rPr>
                      <w:sz w:val="21"/>
                      <w:szCs w:val="21"/>
                      <w:lang w:bidi="ar"/>
                    </w:rPr>
                    <w:t>47</w:t>
                  </w:r>
                </w:p>
              </w:tc>
              <w:tc>
                <w:tcPr>
                  <w:tcW w:w="490" w:type="pct"/>
                  <w:vMerge w:val="continue"/>
                  <w:tcBorders>
                    <w:tl2br w:val="nil"/>
                    <w:tr2bl w:val="nil"/>
                  </w:tcBorders>
                  <w:shd w:val="clear" w:color="auto" w:fill="auto"/>
                  <w:vAlign w:val="center"/>
                </w:tcPr>
                <w:p>
                  <w:pPr>
                    <w:rPr>
                      <w:sz w:val="21"/>
                      <w:szCs w:val="21"/>
                    </w:rPr>
                  </w:pPr>
                </w:p>
              </w:tc>
              <w:tc>
                <w:tcPr>
                  <w:tcW w:w="756" w:type="pct"/>
                  <w:tcBorders>
                    <w:tl2br w:val="nil"/>
                    <w:tr2bl w:val="nil"/>
                  </w:tcBorders>
                  <w:shd w:val="clear" w:color="auto" w:fill="auto"/>
                  <w:vAlign w:val="center"/>
                </w:tcPr>
                <w:p>
                  <w:pPr>
                    <w:jc w:val="center"/>
                    <w:rPr>
                      <w:sz w:val="21"/>
                      <w:szCs w:val="21"/>
                    </w:rPr>
                  </w:pPr>
                  <w:r>
                    <w:rPr>
                      <w:sz w:val="21"/>
                      <w:szCs w:val="21"/>
                      <w:lang w:bidi="ar"/>
                    </w:rPr>
                    <w:t>2023.11.25（01:10）</w:t>
                  </w:r>
                </w:p>
              </w:tc>
              <w:tc>
                <w:tcPr>
                  <w:tcW w:w="444" w:type="pct"/>
                  <w:vMerge w:val="continue"/>
                  <w:tcBorders>
                    <w:tl2br w:val="nil"/>
                    <w:tr2bl w:val="nil"/>
                  </w:tcBorders>
                  <w:shd w:val="clear" w:color="auto" w:fill="auto"/>
                  <w:vAlign w:val="center"/>
                </w:tcPr>
                <w:p>
                  <w:pPr>
                    <w:rPr>
                      <w:sz w:val="21"/>
                      <w:szCs w:val="21"/>
                    </w:rPr>
                  </w:pPr>
                </w:p>
              </w:tc>
              <w:tc>
                <w:tcPr>
                  <w:tcW w:w="444" w:type="pct"/>
                  <w:tcBorders>
                    <w:tl2br w:val="nil"/>
                    <w:tr2bl w:val="nil"/>
                  </w:tcBorders>
                  <w:shd w:val="clear" w:color="auto" w:fill="auto"/>
                  <w:vAlign w:val="center"/>
                </w:tcPr>
                <w:p>
                  <w:pPr>
                    <w:widowControl/>
                    <w:jc w:val="center"/>
                    <w:textAlignment w:val="center"/>
                    <w:rPr>
                      <w:sz w:val="21"/>
                      <w:szCs w:val="21"/>
                    </w:rPr>
                  </w:pPr>
                  <w:r>
                    <w:rPr>
                      <w:sz w:val="21"/>
                      <w:szCs w:val="21"/>
                      <w:lang w:bidi="ar"/>
                    </w:rPr>
                    <w:t>42</w:t>
                  </w:r>
                </w:p>
              </w:tc>
              <w:tc>
                <w:tcPr>
                  <w:tcW w:w="403" w:type="pct"/>
                  <w:vMerge w:val="continue"/>
                  <w:tcBorders>
                    <w:tl2br w:val="nil"/>
                    <w:tr2bl w:val="nil"/>
                  </w:tcBorders>
                  <w:shd w:val="clear" w:color="auto" w:fill="auto"/>
                  <w:vAlign w:val="center"/>
                </w:tcPr>
                <w:p>
                  <w:pPr>
                    <w:rPr>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40" w:hRule="atLeast"/>
                <w:jc w:val="center"/>
              </w:trPr>
              <w:tc>
                <w:tcPr>
                  <w:tcW w:w="913" w:type="pct"/>
                  <w:tcBorders>
                    <w:tl2br w:val="nil"/>
                    <w:tr2bl w:val="nil"/>
                  </w:tcBorders>
                  <w:shd w:val="clear" w:color="auto" w:fill="auto"/>
                  <w:vAlign w:val="center"/>
                </w:tcPr>
                <w:p>
                  <w:pPr>
                    <w:jc w:val="center"/>
                    <w:rPr>
                      <w:sz w:val="21"/>
                      <w:szCs w:val="21"/>
                    </w:rPr>
                  </w:pPr>
                  <w:r>
                    <w:rPr>
                      <w:sz w:val="21"/>
                      <w:szCs w:val="21"/>
                    </w:rPr>
                    <w:t>项目沿线（终点靠近阀井）4#</w:t>
                  </w:r>
                </w:p>
              </w:tc>
              <w:tc>
                <w:tcPr>
                  <w:tcW w:w="756" w:type="pct"/>
                  <w:tcBorders>
                    <w:tl2br w:val="nil"/>
                    <w:tr2bl w:val="nil"/>
                  </w:tcBorders>
                  <w:shd w:val="clear" w:color="auto" w:fill="auto"/>
                  <w:vAlign w:val="center"/>
                </w:tcPr>
                <w:p>
                  <w:pPr>
                    <w:jc w:val="center"/>
                    <w:rPr>
                      <w:sz w:val="21"/>
                      <w:szCs w:val="21"/>
                    </w:rPr>
                  </w:pPr>
                  <w:r>
                    <w:rPr>
                      <w:sz w:val="21"/>
                      <w:szCs w:val="21"/>
                      <w:lang w:bidi="ar"/>
                    </w:rPr>
                    <w:t>2023.11.24（18:18）</w:t>
                  </w:r>
                </w:p>
              </w:tc>
              <w:tc>
                <w:tcPr>
                  <w:tcW w:w="348" w:type="pct"/>
                  <w:vMerge w:val="continue"/>
                  <w:tcBorders>
                    <w:tl2br w:val="nil"/>
                    <w:tr2bl w:val="nil"/>
                  </w:tcBorders>
                  <w:shd w:val="clear" w:color="auto" w:fill="auto"/>
                  <w:vAlign w:val="center"/>
                </w:tcPr>
                <w:p>
                  <w:pPr>
                    <w:rPr>
                      <w:sz w:val="21"/>
                      <w:szCs w:val="21"/>
                    </w:rPr>
                  </w:pPr>
                </w:p>
              </w:tc>
              <w:tc>
                <w:tcPr>
                  <w:tcW w:w="441" w:type="pct"/>
                  <w:tcBorders>
                    <w:tl2br w:val="nil"/>
                    <w:tr2bl w:val="nil"/>
                  </w:tcBorders>
                  <w:shd w:val="clear" w:color="auto" w:fill="auto"/>
                  <w:vAlign w:val="center"/>
                </w:tcPr>
                <w:p>
                  <w:pPr>
                    <w:widowControl/>
                    <w:jc w:val="center"/>
                    <w:textAlignment w:val="center"/>
                    <w:rPr>
                      <w:sz w:val="21"/>
                      <w:szCs w:val="21"/>
                    </w:rPr>
                  </w:pPr>
                  <w:r>
                    <w:rPr>
                      <w:sz w:val="21"/>
                      <w:szCs w:val="21"/>
                      <w:lang w:bidi="ar"/>
                    </w:rPr>
                    <w:t>49</w:t>
                  </w:r>
                </w:p>
              </w:tc>
              <w:tc>
                <w:tcPr>
                  <w:tcW w:w="490" w:type="pct"/>
                  <w:vMerge w:val="continue"/>
                  <w:tcBorders>
                    <w:tl2br w:val="nil"/>
                    <w:tr2bl w:val="nil"/>
                  </w:tcBorders>
                  <w:shd w:val="clear" w:color="auto" w:fill="auto"/>
                  <w:vAlign w:val="center"/>
                </w:tcPr>
                <w:p>
                  <w:pPr>
                    <w:rPr>
                      <w:sz w:val="21"/>
                      <w:szCs w:val="21"/>
                    </w:rPr>
                  </w:pPr>
                </w:p>
              </w:tc>
              <w:tc>
                <w:tcPr>
                  <w:tcW w:w="756" w:type="pct"/>
                  <w:tcBorders>
                    <w:tl2br w:val="nil"/>
                    <w:tr2bl w:val="nil"/>
                  </w:tcBorders>
                  <w:shd w:val="clear" w:color="auto" w:fill="auto"/>
                  <w:vAlign w:val="center"/>
                </w:tcPr>
                <w:p>
                  <w:pPr>
                    <w:jc w:val="center"/>
                    <w:rPr>
                      <w:sz w:val="21"/>
                      <w:szCs w:val="21"/>
                    </w:rPr>
                  </w:pPr>
                  <w:r>
                    <w:rPr>
                      <w:sz w:val="21"/>
                      <w:szCs w:val="21"/>
                      <w:lang w:bidi="ar"/>
                    </w:rPr>
                    <w:t>2023.11.25（01:19）</w:t>
                  </w:r>
                </w:p>
              </w:tc>
              <w:tc>
                <w:tcPr>
                  <w:tcW w:w="444" w:type="pct"/>
                  <w:vMerge w:val="continue"/>
                  <w:tcBorders>
                    <w:tl2br w:val="nil"/>
                    <w:tr2bl w:val="nil"/>
                  </w:tcBorders>
                  <w:shd w:val="clear" w:color="auto" w:fill="auto"/>
                  <w:vAlign w:val="center"/>
                </w:tcPr>
                <w:p>
                  <w:pPr>
                    <w:rPr>
                      <w:sz w:val="21"/>
                      <w:szCs w:val="21"/>
                    </w:rPr>
                  </w:pPr>
                </w:p>
              </w:tc>
              <w:tc>
                <w:tcPr>
                  <w:tcW w:w="444" w:type="pct"/>
                  <w:tcBorders>
                    <w:tl2br w:val="nil"/>
                    <w:tr2bl w:val="nil"/>
                  </w:tcBorders>
                  <w:shd w:val="clear" w:color="auto" w:fill="auto"/>
                  <w:vAlign w:val="center"/>
                </w:tcPr>
                <w:p>
                  <w:pPr>
                    <w:widowControl/>
                    <w:jc w:val="center"/>
                    <w:textAlignment w:val="center"/>
                    <w:rPr>
                      <w:sz w:val="21"/>
                      <w:szCs w:val="21"/>
                    </w:rPr>
                  </w:pPr>
                  <w:r>
                    <w:rPr>
                      <w:sz w:val="21"/>
                      <w:szCs w:val="21"/>
                      <w:lang w:bidi="ar"/>
                    </w:rPr>
                    <w:t>41</w:t>
                  </w:r>
                </w:p>
              </w:tc>
              <w:tc>
                <w:tcPr>
                  <w:tcW w:w="403" w:type="pct"/>
                  <w:vMerge w:val="continue"/>
                  <w:tcBorders>
                    <w:tl2br w:val="nil"/>
                    <w:tr2bl w:val="nil"/>
                  </w:tcBorders>
                  <w:shd w:val="clear" w:color="auto" w:fill="auto"/>
                  <w:vAlign w:val="center"/>
                </w:tcPr>
                <w:p>
                  <w:pPr>
                    <w:rPr>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cantSplit/>
                <w:trHeight w:val="340" w:hRule="atLeast"/>
                <w:jc w:val="center"/>
              </w:trPr>
              <w:tc>
                <w:tcPr>
                  <w:tcW w:w="913" w:type="pct"/>
                  <w:tcBorders>
                    <w:tl2br w:val="nil"/>
                    <w:tr2bl w:val="nil"/>
                  </w:tcBorders>
                  <w:shd w:val="clear" w:color="auto" w:fill="auto"/>
                  <w:vAlign w:val="center"/>
                </w:tcPr>
                <w:p>
                  <w:pPr>
                    <w:widowControl/>
                    <w:jc w:val="center"/>
                    <w:textAlignment w:val="center"/>
                    <w:rPr>
                      <w:kern w:val="0"/>
                      <w:sz w:val="21"/>
                      <w:szCs w:val="21"/>
                      <w:lang w:bidi="ar"/>
                    </w:rPr>
                  </w:pPr>
                  <w:r>
                    <w:rPr>
                      <w:kern w:val="0"/>
                      <w:sz w:val="21"/>
                      <w:szCs w:val="21"/>
                      <w:lang w:bidi="ar"/>
                    </w:rPr>
                    <w:t>终点5#监测点</w:t>
                  </w:r>
                </w:p>
              </w:tc>
              <w:tc>
                <w:tcPr>
                  <w:tcW w:w="756" w:type="pct"/>
                  <w:tcBorders>
                    <w:tl2br w:val="nil"/>
                    <w:tr2bl w:val="nil"/>
                  </w:tcBorders>
                  <w:shd w:val="clear" w:color="auto" w:fill="auto"/>
                  <w:vAlign w:val="center"/>
                </w:tcPr>
                <w:p>
                  <w:pPr>
                    <w:jc w:val="center"/>
                    <w:rPr>
                      <w:sz w:val="21"/>
                      <w:szCs w:val="21"/>
                      <w:lang w:bidi="ar"/>
                    </w:rPr>
                  </w:pPr>
                  <w:r>
                    <w:rPr>
                      <w:sz w:val="21"/>
                      <w:szCs w:val="21"/>
                      <w:lang w:bidi="ar"/>
                    </w:rPr>
                    <w:t>2022.6.12</w:t>
                  </w:r>
                </w:p>
              </w:tc>
              <w:tc>
                <w:tcPr>
                  <w:tcW w:w="348" w:type="pct"/>
                  <w:vMerge w:val="continue"/>
                  <w:tcBorders>
                    <w:tl2br w:val="nil"/>
                    <w:tr2bl w:val="nil"/>
                  </w:tcBorders>
                  <w:shd w:val="clear" w:color="auto" w:fill="auto"/>
                  <w:vAlign w:val="center"/>
                </w:tcPr>
                <w:p>
                  <w:pPr>
                    <w:rPr>
                      <w:sz w:val="21"/>
                      <w:szCs w:val="21"/>
                    </w:rPr>
                  </w:pPr>
                </w:p>
              </w:tc>
              <w:tc>
                <w:tcPr>
                  <w:tcW w:w="441" w:type="pct"/>
                  <w:tcBorders>
                    <w:tl2br w:val="nil"/>
                    <w:tr2bl w:val="nil"/>
                  </w:tcBorders>
                  <w:shd w:val="clear" w:color="auto" w:fill="auto"/>
                  <w:vAlign w:val="center"/>
                </w:tcPr>
                <w:p>
                  <w:pPr>
                    <w:widowControl/>
                    <w:jc w:val="center"/>
                    <w:textAlignment w:val="center"/>
                    <w:rPr>
                      <w:sz w:val="21"/>
                      <w:szCs w:val="21"/>
                    </w:rPr>
                  </w:pPr>
                  <w:r>
                    <w:rPr>
                      <w:sz w:val="21"/>
                      <w:szCs w:val="21"/>
                      <w:lang w:bidi="ar"/>
                    </w:rPr>
                    <w:t>42</w:t>
                  </w:r>
                </w:p>
              </w:tc>
              <w:tc>
                <w:tcPr>
                  <w:tcW w:w="490" w:type="pct"/>
                  <w:vMerge w:val="continue"/>
                  <w:tcBorders>
                    <w:tl2br w:val="nil"/>
                    <w:tr2bl w:val="nil"/>
                  </w:tcBorders>
                  <w:shd w:val="clear" w:color="auto" w:fill="auto"/>
                  <w:vAlign w:val="center"/>
                </w:tcPr>
                <w:p>
                  <w:pPr>
                    <w:rPr>
                      <w:sz w:val="21"/>
                      <w:szCs w:val="21"/>
                    </w:rPr>
                  </w:pPr>
                </w:p>
              </w:tc>
              <w:tc>
                <w:tcPr>
                  <w:tcW w:w="756" w:type="pct"/>
                  <w:tcBorders>
                    <w:tl2br w:val="nil"/>
                    <w:tr2bl w:val="nil"/>
                  </w:tcBorders>
                  <w:shd w:val="clear" w:color="auto" w:fill="auto"/>
                  <w:vAlign w:val="center"/>
                </w:tcPr>
                <w:p>
                  <w:pPr>
                    <w:rPr>
                      <w:sz w:val="21"/>
                      <w:szCs w:val="21"/>
                    </w:rPr>
                  </w:pPr>
                </w:p>
              </w:tc>
              <w:tc>
                <w:tcPr>
                  <w:tcW w:w="444" w:type="pct"/>
                  <w:vMerge w:val="continue"/>
                  <w:tcBorders>
                    <w:tl2br w:val="nil"/>
                    <w:tr2bl w:val="nil"/>
                  </w:tcBorders>
                  <w:shd w:val="clear" w:color="auto" w:fill="auto"/>
                  <w:vAlign w:val="center"/>
                </w:tcPr>
                <w:p>
                  <w:pPr>
                    <w:rPr>
                      <w:sz w:val="21"/>
                      <w:szCs w:val="21"/>
                    </w:rPr>
                  </w:pPr>
                </w:p>
              </w:tc>
              <w:tc>
                <w:tcPr>
                  <w:tcW w:w="444" w:type="pct"/>
                  <w:tcBorders>
                    <w:tl2br w:val="nil"/>
                    <w:tr2bl w:val="nil"/>
                  </w:tcBorders>
                  <w:shd w:val="clear" w:color="auto" w:fill="auto"/>
                  <w:vAlign w:val="center"/>
                </w:tcPr>
                <w:p>
                  <w:pPr>
                    <w:widowControl/>
                    <w:jc w:val="center"/>
                    <w:textAlignment w:val="center"/>
                    <w:rPr>
                      <w:sz w:val="21"/>
                      <w:szCs w:val="21"/>
                      <w:lang w:bidi="ar"/>
                    </w:rPr>
                  </w:pPr>
                  <w:r>
                    <w:rPr>
                      <w:sz w:val="21"/>
                      <w:szCs w:val="21"/>
                      <w:lang w:bidi="ar"/>
                    </w:rPr>
                    <w:t>38</w:t>
                  </w:r>
                </w:p>
              </w:tc>
              <w:tc>
                <w:tcPr>
                  <w:tcW w:w="403" w:type="pct"/>
                  <w:vMerge w:val="continue"/>
                  <w:tcBorders>
                    <w:tl2br w:val="nil"/>
                    <w:tr2bl w:val="nil"/>
                  </w:tcBorders>
                  <w:shd w:val="clear" w:color="auto" w:fill="auto"/>
                  <w:vAlign w:val="center"/>
                </w:tcPr>
                <w:p>
                  <w:pPr>
                    <w:rPr>
                      <w:sz w:val="21"/>
                      <w:szCs w:val="21"/>
                    </w:rPr>
                  </w:pPr>
                </w:p>
              </w:tc>
            </w:tr>
          </w:tbl>
          <w:p>
            <w:pPr>
              <w:topLinePunct/>
              <w:spacing w:before="120" w:beforeLines="50" w:line="360" w:lineRule="auto"/>
              <w:ind w:firstLine="480" w:firstLineChars="200"/>
              <w:rPr>
                <w:sz w:val="21"/>
                <w:szCs w:val="21"/>
              </w:rPr>
            </w:pPr>
            <w:r>
              <w:rPr>
                <w:kern w:val="0"/>
                <w:lang w:bidi="ar"/>
              </w:rPr>
              <w:t>根据噪声监测结果可知，项目区噪声值较低，项目区沿线环境噪声均低于《声环境质量标准》（GB3096-2008）中3类区标准限值，说明区域声环境质量良好。</w:t>
            </w:r>
          </w:p>
          <w:p>
            <w:pPr>
              <w:pStyle w:val="19"/>
              <w:widowControl w:val="0"/>
              <w:spacing w:before="0" w:beforeAutospacing="0" w:after="0" w:afterAutospacing="0" w:line="360" w:lineRule="auto"/>
              <w:jc w:val="both"/>
              <w:rPr>
                <w:rFonts w:ascii="Times New Roman" w:hAnsi="Times New Roman"/>
                <w:b/>
                <w:szCs w:val="24"/>
              </w:rPr>
            </w:pPr>
            <w:r>
              <w:rPr>
                <w:rFonts w:ascii="Times New Roman" w:hAnsi="Times New Roman"/>
                <w:b/>
                <w:szCs w:val="24"/>
                <w:lang w:bidi="ar"/>
              </w:rPr>
              <w:t>6生态现状调查及评价</w:t>
            </w:r>
          </w:p>
          <w:p>
            <w:pPr>
              <w:pStyle w:val="19"/>
              <w:widowControl w:val="0"/>
              <w:spacing w:before="0" w:beforeAutospacing="0" w:after="0" w:afterAutospacing="0" w:line="360" w:lineRule="auto"/>
              <w:ind w:firstLine="480" w:firstLineChars="200"/>
              <w:jc w:val="both"/>
              <w:rPr>
                <w:rFonts w:ascii="Times New Roman" w:hAnsi="Times New Roman"/>
                <w:sz w:val="21"/>
                <w:szCs w:val="21"/>
              </w:rPr>
            </w:pPr>
            <w:r>
              <w:rPr>
                <w:rFonts w:ascii="Times New Roman" w:hAnsi="Times New Roman"/>
                <w:szCs w:val="24"/>
                <w:lang w:bidi="ar"/>
              </w:rPr>
              <w:t>本项目位于喀什市</w:t>
            </w:r>
            <w:r>
              <w:rPr>
                <w:rFonts w:ascii="Times New Roman" w:hAnsi="Times New Roman"/>
                <w:spacing w:val="-2"/>
                <w:szCs w:val="24"/>
                <w:lang w:bidi="ar"/>
              </w:rPr>
              <w:t>经济开发区</w:t>
            </w:r>
            <w:r>
              <w:rPr>
                <w:rFonts w:ascii="Times New Roman" w:hAnsi="Times New Roman"/>
                <w:szCs w:val="24"/>
                <w:lang w:bidi="ar"/>
              </w:rPr>
              <w:t>，参考《新疆生态环境功能区划》可知，项目区属于准噶尔盆地温性荒漠与绿洲农业生态区，详见表3-</w:t>
            </w:r>
            <w:r>
              <w:rPr>
                <w:rFonts w:hint="eastAsia" w:ascii="Times New Roman" w:hAnsi="Times New Roman"/>
                <w:szCs w:val="24"/>
                <w:lang w:val="en-US" w:eastAsia="zh-CN" w:bidi="ar"/>
              </w:rPr>
              <w:t>3</w:t>
            </w:r>
            <w:r>
              <w:rPr>
                <w:rFonts w:ascii="Times New Roman" w:hAnsi="Times New Roman"/>
                <w:szCs w:val="24"/>
                <w:lang w:bidi="ar"/>
              </w:rPr>
              <w:t>。</w:t>
            </w:r>
          </w:p>
          <w:p>
            <w:pPr>
              <w:pStyle w:val="19"/>
              <w:widowControl w:val="0"/>
              <w:spacing w:before="0" w:beforeAutospacing="0" w:after="0" w:afterAutospacing="0"/>
              <w:jc w:val="center"/>
              <w:rPr>
                <w:rFonts w:ascii="Times New Roman" w:hAnsi="Times New Roman"/>
                <w:b/>
                <w:sz w:val="21"/>
                <w:szCs w:val="21"/>
              </w:rPr>
            </w:pPr>
            <w:r>
              <w:rPr>
                <w:rFonts w:ascii="Times New Roman" w:hAnsi="Times New Roman"/>
                <w:b/>
                <w:sz w:val="21"/>
                <w:szCs w:val="21"/>
                <w:lang w:bidi="ar"/>
              </w:rPr>
              <w:t>表3-</w:t>
            </w:r>
            <w:r>
              <w:rPr>
                <w:rFonts w:hint="eastAsia" w:ascii="Times New Roman" w:hAnsi="Times New Roman"/>
                <w:b/>
                <w:sz w:val="21"/>
                <w:szCs w:val="21"/>
                <w:lang w:val="en-US" w:eastAsia="zh-CN" w:bidi="ar"/>
              </w:rPr>
              <w:t>3</w:t>
            </w:r>
            <w:r>
              <w:rPr>
                <w:rFonts w:ascii="Times New Roman" w:hAnsi="Times New Roman"/>
                <w:b/>
                <w:sz w:val="21"/>
                <w:szCs w:val="21"/>
                <w:lang w:bidi="ar"/>
              </w:rPr>
              <w:t xml:space="preserve">  新疆生态功能区划简表（片段）</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7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生态区</w:t>
                  </w:r>
                </w:p>
              </w:tc>
              <w:tc>
                <w:tcPr>
                  <w:tcW w:w="4077" w:type="pct"/>
                  <w:tcBorders>
                    <w:left w:val="single" w:color="auto" w:sz="4" w:space="0"/>
                    <w:bottom w:val="single" w:color="auto" w:sz="4" w:space="0"/>
                  </w:tcBorders>
                  <w:shd w:val="clear" w:color="auto" w:fill="auto"/>
                  <w:vAlign w:val="center"/>
                </w:tcPr>
                <w:p>
                  <w:pPr>
                    <w:rPr>
                      <w:sz w:val="21"/>
                      <w:szCs w:val="21"/>
                    </w:rPr>
                  </w:pPr>
                  <w:r>
                    <w:rPr>
                      <w:sz w:val="21"/>
                      <w:szCs w:val="21"/>
                    </w:rPr>
                    <w:t>Ⅳ 塔里木盆地暖温荒漠及绿洲农业生态区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生态亚区</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Ⅳ1 塔里木盆地西部、北部荒漠及绿洲农业生态亚区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生态功能区</w:t>
                  </w:r>
                </w:p>
              </w:tc>
              <w:tc>
                <w:tcPr>
                  <w:tcW w:w="4077" w:type="pct"/>
                  <w:tcBorders>
                    <w:top w:val="nil"/>
                    <w:left w:val="single" w:color="auto" w:sz="4" w:space="0"/>
                    <w:bottom w:val="single" w:color="auto" w:sz="4" w:space="0"/>
                  </w:tcBorders>
                  <w:shd w:val="clear" w:color="auto" w:fill="auto"/>
                  <w:vAlign w:val="center"/>
                </w:tcPr>
                <w:p>
                  <w:pPr>
                    <w:spacing w:before="100" w:after="50"/>
                    <w:rPr>
                      <w:sz w:val="21"/>
                      <w:szCs w:val="21"/>
                    </w:rPr>
                  </w:pPr>
                  <w:r>
                    <w:rPr>
                      <w:sz w:val="21"/>
                      <w:szCs w:val="21"/>
                    </w:rPr>
                    <w:t>57．喀什三角洲绿洲农业盐渍化敏感生态功能区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隶属行政区</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shd w:val="clear" w:color="auto" w:fill="BEBEBE" w:themeFill="background1" w:themeFillShade="BF"/>
                    </w:rPr>
                    <w:t>喀什市</w:t>
                  </w:r>
                  <w:r>
                    <w:rPr>
                      <w:sz w:val="21"/>
                      <w:szCs w:val="21"/>
                    </w:rPr>
                    <w:t>、阿图什市、疏勒县、疏附县、伽师县、乌恰县、阿克陶县、</w:t>
                  </w:r>
                </w:p>
                <w:p>
                  <w:pPr>
                    <w:rPr>
                      <w:sz w:val="21"/>
                      <w:szCs w:val="21"/>
                    </w:rPr>
                  </w:pPr>
                  <w:r>
                    <w:rPr>
                      <w:sz w:val="21"/>
                      <w:szCs w:val="21"/>
                    </w:rPr>
                    <w:t>岳普湖县、英吉沙县、莎车县、麦盖提县、巴楚县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主要生态服务功能</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农畜产品生产、荒漠化控制、旅游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主要生态环境问题</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土壤盐渍化、三角洲下部天然水质差、城市污水处理滞后、浮尘天气多、土壤质量下降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主要生态敏感因子、敏感程度</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生物多样性及其生境中度敏感，土地沙漠化、土壤盐渍化高度敏感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主要保护目标</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保护人群身体健康、保护水资源、保护农田、保护荒漠植被、保护文物古迹与民俗风情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bottom w:val="single" w:color="auto" w:sz="4" w:space="0"/>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主要保护措施</w:t>
                  </w:r>
                </w:p>
              </w:tc>
              <w:tc>
                <w:tcPr>
                  <w:tcW w:w="4077" w:type="pct"/>
                  <w:tcBorders>
                    <w:top w:val="nil"/>
                    <w:left w:val="single" w:color="auto" w:sz="4" w:space="0"/>
                    <w:bottom w:val="single" w:color="auto" w:sz="4" w:space="0"/>
                  </w:tcBorders>
                  <w:shd w:val="clear" w:color="auto" w:fill="auto"/>
                  <w:vAlign w:val="center"/>
                </w:tcPr>
                <w:p>
                  <w:pPr>
                    <w:rPr>
                      <w:sz w:val="21"/>
                      <w:szCs w:val="21"/>
                    </w:rPr>
                  </w:pPr>
                  <w:r>
                    <w:rPr>
                      <w:sz w:val="21"/>
                      <w:szCs w:val="21"/>
                    </w:rPr>
                    <w:t>改善人畜饮用水质、防治地方病、引洪放淤扩大植被覆盖、建设城镇污水处理系统、加强农田投入品的使用管理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2" w:type="pct"/>
                  <w:tcBorders>
                    <w:top w:val="nil"/>
                    <w:right w:val="single" w:color="auto" w:sz="4" w:space="0"/>
                  </w:tcBorders>
                  <w:shd w:val="clear" w:color="auto" w:fill="auto"/>
                  <w:vAlign w:val="center"/>
                </w:tcPr>
                <w:p>
                  <w:pPr>
                    <w:pStyle w:val="33"/>
                    <w:widowControl w:val="0"/>
                    <w:autoSpaceDE w:val="0"/>
                    <w:rPr>
                      <w:rFonts w:hint="default" w:ascii="Times New Roman" w:hAnsi="Times New Roman"/>
                      <w:b/>
                      <w:bCs/>
                      <w:kern w:val="18"/>
                    </w:rPr>
                  </w:pPr>
                  <w:r>
                    <w:rPr>
                      <w:rFonts w:hint="default" w:ascii="Times New Roman" w:hAnsi="Times New Roman"/>
                      <w:b/>
                      <w:bCs/>
                      <w:kern w:val="18"/>
                    </w:rPr>
                    <w:t>适宜发展方向</w:t>
                  </w:r>
                </w:p>
              </w:tc>
              <w:tc>
                <w:tcPr>
                  <w:tcW w:w="4077" w:type="pct"/>
                  <w:tcBorders>
                    <w:top w:val="nil"/>
                    <w:left w:val="single" w:color="auto" w:sz="4" w:space="0"/>
                  </w:tcBorders>
                  <w:shd w:val="clear" w:color="auto" w:fill="auto"/>
                  <w:vAlign w:val="center"/>
                </w:tcPr>
                <w:p>
                  <w:pPr>
                    <w:rPr>
                      <w:sz w:val="21"/>
                      <w:szCs w:val="21"/>
                    </w:rPr>
                  </w:pPr>
                  <w:r>
                    <w:rPr>
                      <w:sz w:val="21"/>
                      <w:szCs w:val="21"/>
                    </w:rPr>
                    <w:t>以农牧业为基础，建设棉花及特色林果业基地，发展民俗风情旅游</w:t>
                  </w:r>
                </w:p>
              </w:tc>
            </w:tr>
          </w:tbl>
          <w:p>
            <w:pPr>
              <w:pStyle w:val="34"/>
              <w:keepNext w:val="0"/>
              <w:keepLines w:val="0"/>
              <w:widowControl/>
              <w:topLinePunct/>
              <w:spacing w:beforeLines="50" w:after="0"/>
              <w:ind w:firstLine="472"/>
              <w:jc w:val="both"/>
              <w:rPr>
                <w:rFonts w:ascii="Times New Roman" w:hAnsi="Times New Roman"/>
                <w:b w:val="0"/>
                <w:spacing w:val="-2"/>
              </w:rPr>
            </w:pPr>
            <w:r>
              <w:rPr>
                <w:rFonts w:ascii="Times New Roman" w:hAnsi="Times New Roman"/>
                <w:b w:val="0"/>
                <w:spacing w:val="-2"/>
              </w:rPr>
              <w:t>（1）生态类型</w:t>
            </w:r>
          </w:p>
          <w:p>
            <w:pPr>
              <w:pStyle w:val="34"/>
              <w:keepNext w:val="0"/>
              <w:keepLines w:val="0"/>
              <w:widowControl/>
              <w:topLinePunct/>
              <w:spacing w:before="0" w:after="0"/>
              <w:ind w:firstLine="472"/>
              <w:jc w:val="both"/>
              <w:rPr>
                <w:rFonts w:ascii="Times New Roman" w:hAnsi="Times New Roman"/>
                <w:b w:val="0"/>
                <w:spacing w:val="-2"/>
              </w:rPr>
            </w:pPr>
            <w:r>
              <w:rPr>
                <w:rFonts w:ascii="Times New Roman" w:hAnsi="Times New Roman"/>
                <w:b w:val="0"/>
                <w:spacing w:val="-2"/>
              </w:rPr>
              <w:t>本工程位于喀什市，属于Ⅳ塔里木盆地暖温荒漠及绿洲农业生态区--Ⅳ1塔里木盆地西部、北部荒漠及绿洲农业生态亚区-57．喀什三角洲绿洲农业盐渍化敏感生态功能区。详见附图</w:t>
            </w:r>
            <w:r>
              <w:rPr>
                <w:rFonts w:hint="eastAsia" w:ascii="Times New Roman" w:hAnsi="Times New Roman"/>
                <w:b w:val="0"/>
                <w:spacing w:val="-2"/>
              </w:rPr>
              <w:t>9</w:t>
            </w:r>
            <w:r>
              <w:rPr>
                <w:rFonts w:ascii="Times New Roman" w:hAnsi="Times New Roman"/>
                <w:b w:val="0"/>
                <w:spacing w:val="-2"/>
              </w:rPr>
              <w:t>。</w:t>
            </w:r>
          </w:p>
          <w:p>
            <w:pPr>
              <w:pStyle w:val="34"/>
              <w:keepNext w:val="0"/>
              <w:keepLines w:val="0"/>
              <w:widowControl/>
              <w:topLinePunct/>
              <w:spacing w:before="0" w:after="0"/>
              <w:ind w:firstLine="480"/>
              <w:jc w:val="both"/>
              <w:rPr>
                <w:rFonts w:ascii="Times New Roman" w:hAnsi="Times New Roman"/>
                <w:b w:val="0"/>
              </w:rPr>
            </w:pPr>
            <w:r>
              <w:rPr>
                <w:rFonts w:ascii="Times New Roman" w:hAnsi="Times New Roman"/>
                <w:b w:val="0"/>
              </w:rPr>
              <w:t>（2）动物类型</w:t>
            </w:r>
          </w:p>
          <w:p>
            <w:pPr>
              <w:widowControl/>
              <w:spacing w:line="360" w:lineRule="auto"/>
              <w:ind w:firstLine="472" w:firstLineChars="200"/>
              <w:jc w:val="left"/>
              <w:rPr>
                <w:color w:val="FF0000"/>
                <w:spacing w:val="-2"/>
                <w:kern w:val="0"/>
                <w:lang w:bidi="ar"/>
              </w:rPr>
            </w:pPr>
            <w:r>
              <w:rPr>
                <w:spacing w:val="-2"/>
                <w:kern w:val="0"/>
                <w:lang w:bidi="ar"/>
              </w:rPr>
              <w:t>项目位于喀什市经济开发区，由于开发区与喀什市区临近，人为干扰严重，常见的</w:t>
            </w:r>
            <w:r>
              <w:rPr>
                <w:rFonts w:hint="eastAsia"/>
                <w:spacing w:val="-2"/>
                <w:kern w:val="0"/>
                <w:lang w:eastAsia="zh-CN" w:bidi="ar"/>
              </w:rPr>
              <w:t>有</w:t>
            </w:r>
            <w:r>
              <w:rPr>
                <w:spacing w:val="-2"/>
                <w:kern w:val="0"/>
                <w:lang w:bidi="ar"/>
              </w:rPr>
              <w:t>以麻雀为主的雀形目鸟类，以及小家鼠、田鼠、草兔等，</w:t>
            </w:r>
            <w:r>
              <w:rPr>
                <w:color w:val="FF0000"/>
                <w:spacing w:val="-2"/>
                <w:kern w:val="0"/>
                <w:lang w:bidi="ar"/>
              </w:rPr>
              <w:t>无国家及自治区级保护野生动物。</w:t>
            </w:r>
          </w:p>
          <w:p>
            <w:pPr>
              <w:pStyle w:val="34"/>
              <w:keepNext w:val="0"/>
              <w:keepLines w:val="0"/>
              <w:widowControl/>
              <w:topLinePunct/>
              <w:spacing w:before="0" w:after="0"/>
              <w:ind w:left="480" w:firstLine="0" w:firstLineChars="0"/>
              <w:jc w:val="both"/>
              <w:rPr>
                <w:rFonts w:ascii="Times New Roman" w:hAnsi="Times New Roman"/>
                <w:b w:val="0"/>
                <w:spacing w:val="-2"/>
              </w:rPr>
            </w:pPr>
            <w:r>
              <w:rPr>
                <w:rFonts w:ascii="Times New Roman" w:hAnsi="Times New Roman"/>
                <w:b w:val="0"/>
                <w:spacing w:val="-2"/>
              </w:rPr>
              <w:t>（3）植被类型</w:t>
            </w:r>
          </w:p>
          <w:p>
            <w:pPr>
              <w:topLinePunct/>
              <w:spacing w:line="360" w:lineRule="auto"/>
              <w:ind w:firstLine="472" w:firstLineChars="200"/>
              <w:rPr>
                <w:spacing w:val="-2"/>
                <w:kern w:val="0"/>
                <w:lang w:bidi="ar"/>
              </w:rPr>
            </w:pPr>
            <w:r>
              <w:rPr>
                <w:spacing w:val="-2"/>
                <w:kern w:val="0"/>
                <w:lang w:bidi="ar"/>
              </w:rPr>
              <w:t>区域植被稀疏，植株矮小，主要碱蓬、猪毛菜、芨芨草、甘草等耐旱植物，项目区植被类型主要为戈壁藜荒漠，详见图</w:t>
            </w:r>
            <w:r>
              <w:rPr>
                <w:rFonts w:hint="eastAsia"/>
                <w:spacing w:val="-2"/>
                <w:kern w:val="0"/>
                <w:lang w:bidi="ar"/>
              </w:rPr>
              <w:t>7</w:t>
            </w:r>
            <w:r>
              <w:rPr>
                <w:spacing w:val="-2"/>
                <w:kern w:val="0"/>
                <w:lang w:bidi="ar"/>
              </w:rPr>
              <w:t>；根据现场调查，管线周边的植被平均覆盖度45%，</w:t>
            </w:r>
            <w:r>
              <w:rPr>
                <w:rFonts w:hint="eastAsia"/>
                <w:color w:val="FF0000"/>
                <w:spacing w:val="-2"/>
                <w:kern w:val="0"/>
                <w:lang w:val="en-US" w:eastAsia="zh-CN" w:bidi="ar"/>
              </w:rPr>
              <w:t>项目区无国家及地方保护植物，</w:t>
            </w:r>
            <w:r>
              <w:rPr>
                <w:spacing w:val="-2"/>
                <w:kern w:val="0"/>
                <w:lang w:bidi="ar"/>
              </w:rPr>
              <w:t>详见图</w:t>
            </w:r>
            <w:r>
              <w:rPr>
                <w:rFonts w:hint="eastAsia"/>
                <w:spacing w:val="-2"/>
                <w:kern w:val="0"/>
                <w:lang w:bidi="ar"/>
              </w:rPr>
              <w:t>8</w:t>
            </w:r>
            <w:r>
              <w:rPr>
                <w:spacing w:val="-2"/>
                <w:kern w:val="0"/>
                <w:lang w:bidi="ar"/>
              </w:rPr>
              <w:t>。</w:t>
            </w:r>
          </w:p>
          <w:p>
            <w:pPr>
              <w:pStyle w:val="34"/>
              <w:keepNext w:val="0"/>
              <w:keepLines w:val="0"/>
              <w:widowControl/>
              <w:topLinePunct/>
              <w:spacing w:before="0" w:after="0"/>
              <w:ind w:firstLine="0" w:firstLineChars="0"/>
              <w:jc w:val="both"/>
              <w:rPr>
                <w:rFonts w:ascii="Times New Roman" w:hAnsi="Times New Roman"/>
                <w:b w:val="0"/>
                <w:spacing w:val="-2"/>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6"/>
              <w:gridCol w:w="4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6" w:type="dxa"/>
                </w:tcPr>
                <w:p>
                  <w:pPr>
                    <w:pStyle w:val="34"/>
                    <w:keepNext w:val="0"/>
                    <w:keepLines w:val="0"/>
                    <w:widowControl/>
                    <w:topLinePunct/>
                    <w:spacing w:before="0" w:after="0" w:line="240" w:lineRule="auto"/>
                    <w:ind w:firstLine="0" w:firstLineChars="0"/>
                    <w:jc w:val="both"/>
                    <w:rPr>
                      <w:rFonts w:ascii="Times New Roman" w:hAnsi="Times New Roman"/>
                      <w:b w:val="0"/>
                      <w:spacing w:val="-2"/>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1221105</wp:posOffset>
                            </wp:positionH>
                            <wp:positionV relativeFrom="paragraph">
                              <wp:posOffset>350520</wp:posOffset>
                            </wp:positionV>
                            <wp:extent cx="803275" cy="734060"/>
                            <wp:effectExtent l="93980" t="0" r="93345" b="0"/>
                            <wp:wrapNone/>
                            <wp:docPr id="55" name="矩形 55"/>
                            <wp:cNvGraphicFramePr/>
                            <a:graphic xmlns:a="http://schemas.openxmlformats.org/drawingml/2006/main">
                              <a:graphicData uri="http://schemas.microsoft.com/office/word/2010/wordprocessingShape">
                                <wps:wsp>
                                  <wps:cNvSpPr/>
                                  <wps:spPr>
                                    <a:xfrm>
                                      <a:off x="1950085" y="1577340"/>
                                      <a:ext cx="803275" cy="734060"/>
                                    </a:xfrm>
                                    <a:prstGeom prst="rect">
                                      <a:avLst/>
                                    </a:prstGeom>
                                    <a:noFill/>
                                    <a:ln w="28575">
                                      <a:solidFill>
                                        <a:schemeClr val="bg1"/>
                                      </a:solidFill>
                                    </a:ln>
                                    <a:scene3d>
                                      <a:camera prst="orthographicFront">
                                        <a:rot lat="3600000" lon="1200000" rev="1800000"/>
                                      </a:camera>
                                      <a:lightRig rig="threePt" dir="t"/>
                                    </a:scene3d>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15pt;margin-top:27.6pt;height:57.8pt;width:63.25pt;z-index:251660288;v-text-anchor:middle;mso-width-relative:page;mso-height-relative:page;" filled="f" stroked="t" coordsize="21600,21600" o:gfxdata="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8PQ5CNYAAAAKAQAADwAAAAAAAAAB&#10;ACAAAAAiAAAAZHJzL2Rvd25yZXYueG1sUEsBAhQAFAAAAAgAh07iQBJZ/s29AgAAcgUAAA4AAAAA&#10;AAAAAQAgAAAAJQEAAGRycy9lMm9Eb2MueG1sUEsFBgAAAAAGAAYAWQEAAFQGAAAAAA==&#10;">
                            <v:fill on="f" focussize="0,0"/>
                            <v:stroke weight="2.25pt" color="#FFFFFF [3212]" miterlimit="8" joinstyle="miter"/>
                            <v:imagedata o:title=""/>
                            <o:lock v:ext="edit" aspectratio="f"/>
                          </v:rect>
                        </w:pict>
                      </mc:Fallback>
                    </mc:AlternateContent>
                  </w:r>
                  <w:r>
                    <w:rPr>
                      <w:rFonts w:ascii="Times New Roman" w:hAnsi="Times New Roman"/>
                      <w:b w:val="0"/>
                      <w:spacing w:val="-2"/>
                    </w:rPr>
                    <w:drawing>
                      <wp:inline distT="0" distB="0" distL="114300" distR="114300">
                        <wp:extent cx="2886710" cy="1604010"/>
                        <wp:effectExtent l="0" t="0" r="2540" b="0"/>
                        <wp:docPr id="51" name="图片 51" descr="628ef83d4d8ff25d11279da93fc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628ef83d4d8ff25d11279da93fc1836"/>
                                <pic:cNvPicPr>
                                  <a:picLocks noChangeAspect="1"/>
                                </pic:cNvPicPr>
                              </pic:nvPicPr>
                              <pic:blipFill>
                                <a:blip r:embed="rId20"/>
                                <a:srcRect l="48098" t="37540" b="-1655"/>
                                <a:stretch>
                                  <a:fillRect/>
                                </a:stretch>
                              </pic:blipFill>
                              <pic:spPr>
                                <a:xfrm>
                                  <a:off x="0" y="0"/>
                                  <a:ext cx="2886710" cy="1604010"/>
                                </a:xfrm>
                                <a:prstGeom prst="rect">
                                  <a:avLst/>
                                </a:prstGeom>
                              </pic:spPr>
                            </pic:pic>
                          </a:graphicData>
                        </a:graphic>
                      </wp:inline>
                    </w:drawing>
                  </w:r>
                </w:p>
              </w:tc>
              <w:tc>
                <w:tcPr>
                  <w:tcW w:w="4366" w:type="dxa"/>
                </w:tcPr>
                <w:p>
                  <w:pPr>
                    <w:pStyle w:val="34"/>
                    <w:keepNext w:val="0"/>
                    <w:keepLines w:val="0"/>
                    <w:widowControl/>
                    <w:topLinePunct/>
                    <w:spacing w:before="0" w:after="0" w:line="240" w:lineRule="auto"/>
                    <w:ind w:firstLine="0" w:firstLineChars="0"/>
                    <w:jc w:val="both"/>
                    <w:rPr>
                      <w:rFonts w:ascii="Times New Roman" w:hAnsi="Times New Roman"/>
                      <w:b w:val="0"/>
                      <w:spacing w:val="-2"/>
                    </w:rPr>
                  </w:pPr>
                  <w:r>
                    <w:rPr>
                      <w:rFonts w:ascii="Times New Roman" w:hAnsi="Times New Roman"/>
                    </w:rPr>
                    <mc:AlternateContent>
                      <mc:Choice Requires="wps">
                        <w:drawing>
                          <wp:anchor distT="0" distB="0" distL="114300" distR="114300" simplePos="0" relativeHeight="251662336" behindDoc="0" locked="0" layoutInCell="1" allowOverlap="1">
                            <wp:simplePos x="0" y="0"/>
                            <wp:positionH relativeFrom="column">
                              <wp:posOffset>423545</wp:posOffset>
                            </wp:positionH>
                            <wp:positionV relativeFrom="paragraph">
                              <wp:posOffset>801370</wp:posOffset>
                            </wp:positionV>
                            <wp:extent cx="606425" cy="683260"/>
                            <wp:effectExtent l="61595" t="0" r="62230" b="0"/>
                            <wp:wrapNone/>
                            <wp:docPr id="56" name="矩形 56"/>
                            <wp:cNvGraphicFramePr/>
                            <a:graphic xmlns:a="http://schemas.openxmlformats.org/drawingml/2006/main">
                              <a:graphicData uri="http://schemas.microsoft.com/office/word/2010/wordprocessingShape">
                                <wps:wsp>
                                  <wps:cNvSpPr/>
                                  <wps:spPr>
                                    <a:xfrm>
                                      <a:off x="0" y="0"/>
                                      <a:ext cx="606425" cy="683260"/>
                                    </a:xfrm>
                                    <a:prstGeom prst="rect">
                                      <a:avLst/>
                                    </a:prstGeom>
                                    <a:noFill/>
                                    <a:ln w="19050">
                                      <a:solidFill>
                                        <a:schemeClr val="bg1"/>
                                      </a:solidFill>
                                    </a:ln>
                                    <a:scene3d>
                                      <a:camera prst="orthographicFront">
                                        <a:rot lat="4200000" lon="1200000" rev="1800000"/>
                                      </a:camera>
                                      <a:lightRig rig="threePt" dir="t"/>
                                    </a:scene3d>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5pt;margin-top:63.1pt;height:53.8pt;width:47.75pt;z-index:251662336;v-text-anchor:middle;mso-width-relative:page;mso-height-relative:page;" filled="f" stroked="t" coordsize="21600,21600" o:gfxdata="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7ckxnYAAAACgEAAA8AAAAAAAAAAQAgAAAA&#10;IgAAAGRycy9kb3ducmV2LnhtbFBLAQIUABQAAAAIAIdO4kCsJ/+ItgIAAGYFAAAOAAAAAAAAAAEA&#10;IAAAACcBAABkcnMvZTJvRG9jLnhtbFBLBQYAAAAABgAGAFkBAABPBgAAAAA=&#10;">
                            <v:fill on="f" focussize="0,0"/>
                            <v:stroke weight="1.5pt" color="#FFFFFF [3212]" miterlimit="8" joinstyle="miter"/>
                            <v:imagedata o:title=""/>
                            <o:lock v:ext="edit" aspectratio="f"/>
                          </v:rect>
                        </w:pict>
                      </mc:Fallback>
                    </mc:AlternateContent>
                  </w:r>
                  <w:r>
                    <w:rPr>
                      <w:rFonts w:ascii="Times New Roman" w:hAnsi="Times New Roman"/>
                      <w:b w:val="0"/>
                      <w:spacing w:val="-2"/>
                    </w:rPr>
                    <w:drawing>
                      <wp:inline distT="0" distB="0" distL="114300" distR="114300">
                        <wp:extent cx="2618740" cy="1554480"/>
                        <wp:effectExtent l="0" t="0" r="3810" b="1270"/>
                        <wp:docPr id="50" name="图片 50" descr="ca69631fa43b1f571e69df0cb097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a69631fa43b1f571e69df0cb09790d"/>
                                <pic:cNvPicPr>
                                  <a:picLocks noChangeAspect="1"/>
                                </pic:cNvPicPr>
                              </pic:nvPicPr>
                              <pic:blipFill>
                                <a:blip r:embed="rId21"/>
                                <a:srcRect l="26008" t="-1880" r="-362" b="3706"/>
                                <a:stretch>
                                  <a:fillRect/>
                                </a:stretch>
                              </pic:blipFill>
                              <pic:spPr>
                                <a:xfrm>
                                  <a:off x="0" y="0"/>
                                  <a:ext cx="2618740" cy="15544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2" w:type="dxa"/>
                  <w:gridSpan w:val="2"/>
                </w:tcPr>
                <w:p>
                  <w:pPr>
                    <w:pStyle w:val="34"/>
                    <w:keepNext w:val="0"/>
                    <w:keepLines w:val="0"/>
                    <w:widowControl/>
                    <w:topLinePunct/>
                    <w:spacing w:before="0" w:after="0" w:line="240" w:lineRule="auto"/>
                    <w:ind w:firstLine="0" w:firstLineChars="0"/>
                    <w:jc w:val="center"/>
                    <w:rPr>
                      <w:rFonts w:ascii="Times New Roman" w:hAnsi="Times New Roman"/>
                      <w:b w:val="0"/>
                      <w:spacing w:val="-2"/>
                    </w:rPr>
                  </w:pP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2113280</wp:posOffset>
                            </wp:positionH>
                            <wp:positionV relativeFrom="paragraph">
                              <wp:posOffset>251460</wp:posOffset>
                            </wp:positionV>
                            <wp:extent cx="606425" cy="683260"/>
                            <wp:effectExtent l="64770" t="0" r="65405" b="0"/>
                            <wp:wrapNone/>
                            <wp:docPr id="57" name="矩形 57"/>
                            <wp:cNvGraphicFramePr/>
                            <a:graphic xmlns:a="http://schemas.openxmlformats.org/drawingml/2006/main">
                              <a:graphicData uri="http://schemas.microsoft.com/office/word/2010/wordprocessingShape">
                                <wps:wsp>
                                  <wps:cNvSpPr/>
                                  <wps:spPr>
                                    <a:xfrm>
                                      <a:off x="0" y="0"/>
                                      <a:ext cx="606425" cy="683260"/>
                                    </a:xfrm>
                                    <a:prstGeom prst="rect">
                                      <a:avLst/>
                                    </a:prstGeom>
                                    <a:noFill/>
                                    <a:ln w="19050">
                                      <a:solidFill>
                                        <a:schemeClr val="bg1"/>
                                      </a:solidFill>
                                    </a:ln>
                                    <a:scene3d>
                                      <a:camera prst="orthographicFront">
                                        <a:rot lat="4200000" lon="1800000" rev="1800000"/>
                                      </a:camera>
                                      <a:lightRig rig="threePt" dir="t"/>
                                    </a:scene3d>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4pt;margin-top:19.8pt;height:53.8pt;width:47.75pt;z-index:251663360;v-text-anchor:middle;mso-width-relative:page;mso-height-relative:page;" filled="f" stroked="t" coordsize="21600,21600" o:gfxdata="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AT2JCzZAAAACgEAAA8AAAAAAAAAAQAg&#10;AAAAIgAAAGRycy9kb3ducmV2LnhtbFBLAQIUABQAAAAIAIdO4kCdoNxouAIAAGYFAAAOAAAAAAAA&#10;AAEAIAAAACgBAABkcnMvZTJvRG9jLnhtbFBLBQYAAAAABgAGAFkBAABSBgAAAAA=&#10;">
                            <v:fill on="f" focussize="0,0"/>
                            <v:stroke weight="1.5pt" color="#FFFFFF [3212]" miterlimit="8" joinstyle="miter"/>
                            <v:imagedata o:title=""/>
                            <o:lock v:ext="edit" aspectratio="f"/>
                          </v:rect>
                        </w:pict>
                      </mc:Fallback>
                    </mc:AlternateContent>
                  </w:r>
                  <w:r>
                    <w:rPr>
                      <w:rFonts w:ascii="Times New Roman" w:hAnsi="Times New Roman"/>
                      <w:b w:val="0"/>
                      <w:spacing w:val="-2"/>
                    </w:rPr>
                    <w:drawing>
                      <wp:inline distT="0" distB="0" distL="114300" distR="114300">
                        <wp:extent cx="2756535" cy="1497965"/>
                        <wp:effectExtent l="0" t="0" r="5715" b="635"/>
                        <wp:docPr id="54" name="图片 54" descr="77981f165a54e634a775f1eb1e07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7981f165a54e634a775f1eb1e079aa"/>
                                <pic:cNvPicPr>
                                  <a:picLocks noChangeAspect="1"/>
                                </pic:cNvPicPr>
                              </pic:nvPicPr>
                              <pic:blipFill>
                                <a:blip r:embed="rId22"/>
                                <a:srcRect l="55116" t="45775"/>
                                <a:stretch>
                                  <a:fillRect/>
                                </a:stretch>
                              </pic:blipFill>
                              <pic:spPr>
                                <a:xfrm>
                                  <a:off x="0" y="0"/>
                                  <a:ext cx="2756535" cy="1497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2" w:type="dxa"/>
                  <w:gridSpan w:val="2"/>
                </w:tcPr>
                <w:p>
                  <w:pPr>
                    <w:pStyle w:val="34"/>
                    <w:keepNext w:val="0"/>
                    <w:keepLines w:val="0"/>
                    <w:widowControl/>
                    <w:topLinePunct/>
                    <w:spacing w:before="0" w:after="0" w:line="240" w:lineRule="auto"/>
                    <w:ind w:firstLine="0" w:firstLineChars="0"/>
                    <w:jc w:val="center"/>
                    <w:rPr>
                      <w:rFonts w:ascii="Times New Roman" w:hAnsi="Times New Roman"/>
                      <w:bCs/>
                      <w:spacing w:val="-2"/>
                    </w:rPr>
                  </w:pPr>
                  <w:r>
                    <w:rPr>
                      <w:rFonts w:ascii="Times New Roman" w:hAnsi="Times New Roman"/>
                      <w:bCs/>
                      <w:spacing w:val="-2"/>
                    </w:rPr>
                    <w:t>图</w:t>
                  </w:r>
                  <w:r>
                    <w:rPr>
                      <w:rFonts w:hint="eastAsia" w:ascii="Times New Roman" w:hAnsi="Times New Roman"/>
                      <w:bCs/>
                      <w:spacing w:val="-2"/>
                    </w:rPr>
                    <w:t>7</w:t>
                  </w:r>
                  <w:r>
                    <w:rPr>
                      <w:rFonts w:ascii="Times New Roman" w:hAnsi="Times New Roman"/>
                      <w:bCs/>
                      <w:spacing w:val="-2"/>
                    </w:rPr>
                    <w:t xml:space="preserve">    项目植被样方图</w:t>
                  </w:r>
                </w:p>
              </w:tc>
            </w:tr>
          </w:tbl>
          <w:p>
            <w:pPr>
              <w:pStyle w:val="34"/>
              <w:keepNext w:val="0"/>
              <w:keepLines w:val="0"/>
              <w:widowControl/>
              <w:topLinePunct/>
              <w:spacing w:before="0" w:after="0"/>
              <w:ind w:firstLine="472"/>
              <w:jc w:val="both"/>
              <w:rPr>
                <w:rFonts w:ascii="Times New Roman" w:hAnsi="Times New Roman"/>
                <w:b w:val="0"/>
                <w:spacing w:val="-2"/>
              </w:rPr>
            </w:pPr>
          </w:p>
          <w:p>
            <w:pPr>
              <w:pStyle w:val="34"/>
              <w:keepNext w:val="0"/>
              <w:keepLines w:val="0"/>
              <w:widowControl/>
              <w:topLinePunct/>
              <w:spacing w:before="0" w:after="0"/>
              <w:ind w:firstLine="0" w:firstLineChars="0"/>
              <w:jc w:val="both"/>
              <w:rPr>
                <w:rFonts w:ascii="Times New Roman" w:hAnsi="Times New Roman"/>
                <w:b w:val="0"/>
                <w:spacing w:val="-2"/>
              </w:rPr>
            </w:pPr>
            <w:r>
              <w:rPr>
                <w:rFonts w:ascii="Times New Roman" w:hAnsi="Times New Roman"/>
                <w:b w:val="0"/>
                <w:spacing w:val="-2"/>
              </w:rPr>
              <w:drawing>
                <wp:inline distT="0" distB="0" distL="114300" distR="114300">
                  <wp:extent cx="5733415" cy="4052570"/>
                  <wp:effectExtent l="0" t="0" r="635" b="5080"/>
                  <wp:docPr id="52" name="图片 52" descr="00a3fabd51fe21f976461e259786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0a3fabd51fe21f976461e259786f15"/>
                          <pic:cNvPicPr>
                            <a:picLocks noChangeAspect="1"/>
                          </pic:cNvPicPr>
                        </pic:nvPicPr>
                        <pic:blipFill>
                          <a:blip r:embed="rId23"/>
                          <a:stretch>
                            <a:fillRect/>
                          </a:stretch>
                        </pic:blipFill>
                        <pic:spPr>
                          <a:xfrm>
                            <a:off x="0" y="0"/>
                            <a:ext cx="5733415" cy="4052570"/>
                          </a:xfrm>
                          <a:prstGeom prst="rect">
                            <a:avLst/>
                          </a:prstGeom>
                        </pic:spPr>
                      </pic:pic>
                    </a:graphicData>
                  </a:graphic>
                </wp:inline>
              </w:drawing>
            </w:r>
          </w:p>
          <w:p>
            <w:pPr>
              <w:pStyle w:val="34"/>
              <w:keepNext w:val="0"/>
              <w:keepLines w:val="0"/>
              <w:widowControl/>
              <w:topLinePunct/>
              <w:spacing w:before="0" w:after="0"/>
              <w:ind w:firstLine="474"/>
              <w:jc w:val="center"/>
              <w:rPr>
                <w:rFonts w:ascii="Times New Roman" w:hAnsi="Times New Roman"/>
                <w:b w:val="0"/>
                <w:spacing w:val="-2"/>
              </w:rPr>
            </w:pPr>
            <w:r>
              <w:rPr>
                <w:rFonts w:ascii="Times New Roman" w:hAnsi="Times New Roman"/>
                <w:bCs/>
                <w:spacing w:val="-2"/>
              </w:rPr>
              <w:t>图</w:t>
            </w:r>
            <w:r>
              <w:rPr>
                <w:rFonts w:hint="eastAsia" w:ascii="Times New Roman" w:hAnsi="Times New Roman"/>
                <w:bCs/>
                <w:spacing w:val="-2"/>
              </w:rPr>
              <w:t>8</w:t>
            </w:r>
            <w:r>
              <w:rPr>
                <w:rFonts w:ascii="Times New Roman" w:hAnsi="Times New Roman"/>
                <w:bCs/>
                <w:spacing w:val="-2"/>
              </w:rPr>
              <w:t xml:space="preserve">     项目植被类型图</w:t>
            </w:r>
          </w:p>
          <w:p>
            <w:pPr>
              <w:pStyle w:val="34"/>
              <w:keepNext w:val="0"/>
              <w:keepLines w:val="0"/>
              <w:widowControl/>
              <w:topLinePunct/>
              <w:spacing w:before="0" w:after="0"/>
              <w:ind w:firstLine="472"/>
              <w:jc w:val="both"/>
              <w:rPr>
                <w:rFonts w:ascii="Times New Roman" w:hAnsi="Times New Roman"/>
                <w:b w:val="0"/>
                <w:spacing w:val="-2"/>
              </w:rPr>
            </w:pPr>
            <w:r>
              <w:rPr>
                <w:rFonts w:ascii="Times New Roman" w:hAnsi="Times New Roman"/>
                <w:b w:val="0"/>
                <w:spacing w:val="-2"/>
              </w:rPr>
              <w:t>（4）土壤类型</w:t>
            </w:r>
          </w:p>
          <w:p>
            <w:pPr>
              <w:spacing w:line="360" w:lineRule="auto"/>
              <w:ind w:firstLine="472" w:firstLineChars="200"/>
              <w:rPr>
                <w:spacing w:val="-2"/>
                <w:kern w:val="0"/>
                <w:lang w:bidi="ar"/>
              </w:rPr>
            </w:pPr>
            <w:r>
              <w:rPr>
                <w:spacing w:val="-2"/>
                <w:kern w:val="0"/>
                <w:lang w:bidi="ar"/>
              </w:rPr>
              <w:t>喀什市的土壤形成主要受灌溉耕作、地貌母质、水文地质、气候等条件影响。因此，土壤分布也受上述成土因素制约，随着地貌地形部位、水文地质条件的变化而构成规律性的分布，大致呈平行等高的东西向的带状和毛状。表现出一定的组合规律。</w:t>
            </w:r>
          </w:p>
          <w:p>
            <w:pPr>
              <w:spacing w:line="360" w:lineRule="auto"/>
              <w:ind w:firstLine="472" w:firstLineChars="200"/>
              <w:rPr>
                <w:spacing w:val="-2"/>
                <w:kern w:val="0"/>
                <w:lang w:bidi="ar"/>
              </w:rPr>
            </w:pPr>
            <w:r>
              <w:rPr>
                <w:spacing w:val="-2"/>
                <w:kern w:val="0"/>
                <w:lang w:bidi="ar"/>
              </w:rPr>
              <w:t>由北至南土壤类型组合：棕漠土——灌溉棕漠土——灌淤土——盐化灌淤土——盐化潮土——水稻土（草甸土）；从西至东土壤组合类型：盐化潮土——盐化灌淤土——盐化潮土——盐化草甸土——草甸盐土——盐土。</w:t>
            </w:r>
          </w:p>
          <w:p>
            <w:pPr>
              <w:pStyle w:val="3"/>
              <w:spacing w:before="0" w:after="0" w:line="360" w:lineRule="auto"/>
              <w:ind w:firstLine="472" w:firstLineChars="200"/>
              <w:rPr>
                <w:b w:val="0"/>
                <w:bCs w:val="0"/>
                <w:spacing w:val="-2"/>
                <w:kern w:val="0"/>
                <w:sz w:val="24"/>
                <w:szCs w:val="24"/>
                <w:lang w:bidi="ar"/>
              </w:rPr>
            </w:pPr>
            <w:r>
              <w:rPr>
                <w:b w:val="0"/>
                <w:bCs w:val="0"/>
                <w:spacing w:val="-2"/>
                <w:kern w:val="0"/>
                <w:sz w:val="24"/>
                <w:szCs w:val="24"/>
                <w:lang w:bidi="ar"/>
              </w:rPr>
              <w:t>项目区主要为石膏棕漠土。详见图</w:t>
            </w:r>
            <w:r>
              <w:rPr>
                <w:rFonts w:hint="eastAsia"/>
                <w:b w:val="0"/>
                <w:bCs w:val="0"/>
                <w:spacing w:val="-2"/>
                <w:kern w:val="0"/>
                <w:sz w:val="24"/>
                <w:szCs w:val="24"/>
                <w:lang w:bidi="ar"/>
              </w:rPr>
              <w:t>9</w:t>
            </w:r>
            <w:r>
              <w:rPr>
                <w:b w:val="0"/>
                <w:bCs w:val="0"/>
                <w:spacing w:val="-2"/>
                <w:kern w:val="0"/>
                <w:sz w:val="24"/>
                <w:szCs w:val="24"/>
                <w:lang w:bidi="ar"/>
              </w:rPr>
              <w:t>。</w:t>
            </w:r>
          </w:p>
          <w:p>
            <w:pPr>
              <w:pStyle w:val="34"/>
              <w:keepNext w:val="0"/>
              <w:keepLines w:val="0"/>
              <w:widowControl/>
              <w:topLinePunct/>
              <w:spacing w:before="0" w:after="0"/>
              <w:ind w:firstLine="480"/>
              <w:jc w:val="both"/>
              <w:rPr>
                <w:rFonts w:ascii="Times New Roman" w:hAnsi="Times New Roman"/>
                <w:b w:val="0"/>
                <w:spacing w:val="-2"/>
              </w:rPr>
            </w:pPr>
            <w:r>
              <w:rPr>
                <w:rFonts w:ascii="Times New Roman" w:hAnsi="Times New Roman"/>
                <w:b w:val="0"/>
                <w:spacing w:val="-2"/>
              </w:rPr>
              <w:drawing>
                <wp:inline distT="0" distB="0" distL="114300" distR="114300">
                  <wp:extent cx="5240020" cy="3704590"/>
                  <wp:effectExtent l="0" t="0" r="5080" b="3810"/>
                  <wp:docPr id="2" name="图片 2" descr="0a6c0f2c3e195c63188e05a25e37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6c0f2c3e195c63188e05a25e37e02"/>
                          <pic:cNvPicPr>
                            <a:picLocks noChangeAspect="1"/>
                          </pic:cNvPicPr>
                        </pic:nvPicPr>
                        <pic:blipFill>
                          <a:blip r:embed="rId24"/>
                          <a:stretch>
                            <a:fillRect/>
                          </a:stretch>
                        </pic:blipFill>
                        <pic:spPr>
                          <a:xfrm>
                            <a:off x="0" y="0"/>
                            <a:ext cx="5240020" cy="3704590"/>
                          </a:xfrm>
                          <a:prstGeom prst="rect">
                            <a:avLst/>
                          </a:prstGeom>
                        </pic:spPr>
                      </pic:pic>
                    </a:graphicData>
                  </a:graphic>
                </wp:inline>
              </w:drawing>
            </w:r>
          </w:p>
          <w:p>
            <w:pPr>
              <w:pStyle w:val="34"/>
              <w:keepNext w:val="0"/>
              <w:keepLines w:val="0"/>
              <w:widowControl/>
              <w:topLinePunct/>
              <w:spacing w:before="0" w:after="0"/>
              <w:ind w:firstLine="474"/>
              <w:jc w:val="center"/>
              <w:rPr>
                <w:rFonts w:ascii="Times New Roman" w:hAnsi="Times New Roman"/>
                <w:b w:val="0"/>
                <w:spacing w:val="-2"/>
              </w:rPr>
            </w:pPr>
            <w:r>
              <w:rPr>
                <w:rFonts w:ascii="Times New Roman" w:hAnsi="Times New Roman"/>
                <w:bCs/>
                <w:spacing w:val="-2"/>
              </w:rPr>
              <w:t>图</w:t>
            </w:r>
            <w:r>
              <w:rPr>
                <w:rFonts w:hint="eastAsia" w:ascii="Times New Roman" w:hAnsi="Times New Roman"/>
                <w:bCs/>
                <w:spacing w:val="-2"/>
              </w:rPr>
              <w:t>9</w:t>
            </w:r>
            <w:r>
              <w:rPr>
                <w:rFonts w:ascii="Times New Roman" w:hAnsi="Times New Roman"/>
                <w:bCs/>
                <w:spacing w:val="-2"/>
              </w:rPr>
              <w:t xml:space="preserve">       项目所在地土壤类型图</w:t>
            </w:r>
          </w:p>
          <w:p>
            <w:pPr>
              <w:pStyle w:val="34"/>
              <w:keepNext w:val="0"/>
              <w:keepLines w:val="0"/>
              <w:widowControl/>
              <w:topLinePunct/>
              <w:spacing w:before="0" w:after="0"/>
              <w:ind w:firstLine="472"/>
              <w:jc w:val="both"/>
              <w:rPr>
                <w:rFonts w:ascii="Times New Roman" w:hAnsi="Times New Roman"/>
                <w:b w:val="0"/>
                <w:spacing w:val="-2"/>
              </w:rPr>
            </w:pPr>
            <w:r>
              <w:rPr>
                <w:rFonts w:ascii="Times New Roman" w:hAnsi="Times New Roman"/>
                <w:b w:val="0"/>
                <w:spacing w:val="-2"/>
              </w:rPr>
              <w:t>（5）主要生态问题</w:t>
            </w:r>
          </w:p>
          <w:p>
            <w:pPr>
              <w:spacing w:line="360" w:lineRule="auto"/>
              <w:ind w:firstLine="472" w:firstLineChars="200"/>
              <w:rPr>
                <w:kern w:val="0"/>
              </w:rPr>
            </w:pPr>
            <w:r>
              <w:rPr>
                <w:spacing w:val="-2"/>
                <w:kern w:val="0"/>
                <w:lang w:bidi="ar"/>
              </w:rPr>
              <w:t>本区域物种较单一，人工生态系统对外界干扰的调节和抵抗力减弱，稳定性较差。野生动物种类、数量都很少，难以见到大型野生动物，小型野生动物也很少。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Align w:val="center"/>
          </w:tcPr>
          <w:p>
            <w:pPr>
              <w:adjustRightInd w:val="0"/>
              <w:snapToGrid w:val="0"/>
              <w:jc w:val="center"/>
              <w:rPr>
                <w:kern w:val="0"/>
              </w:rPr>
            </w:pPr>
            <w:r>
              <w:rPr>
                <w:bCs/>
              </w:rPr>
              <w:t>与项目有关的原有环境污染和生态破坏问题</w:t>
            </w:r>
          </w:p>
        </w:tc>
        <w:tc>
          <w:tcPr>
            <w:tcW w:w="7847" w:type="dxa"/>
            <w:vAlign w:val="center"/>
          </w:tcPr>
          <w:p>
            <w:pPr>
              <w:spacing w:line="360" w:lineRule="auto"/>
              <w:rPr>
                <w:b/>
                <w:bCs/>
                <w:spacing w:val="6"/>
              </w:rPr>
            </w:pPr>
            <w:r>
              <w:rPr>
                <w:b/>
                <w:bCs/>
                <w:spacing w:val="6"/>
                <w:lang w:bidi="ar"/>
              </w:rPr>
              <w:t>1工程现状</w:t>
            </w:r>
          </w:p>
          <w:p>
            <w:pPr>
              <w:spacing w:line="360" w:lineRule="auto"/>
              <w:ind w:firstLine="472" w:firstLineChars="200"/>
              <w:rPr>
                <w:spacing w:val="-2"/>
                <w:kern w:val="0"/>
                <w:lang w:bidi="ar"/>
              </w:rPr>
            </w:pPr>
            <w:r>
              <w:rPr>
                <w:spacing w:val="-2"/>
                <w:kern w:val="0"/>
                <w:lang w:bidi="ar"/>
              </w:rPr>
              <w:t>项目位于喀什经济开发区，</w:t>
            </w:r>
            <w:r>
              <w:rPr>
                <w:kern w:val="21"/>
              </w:rPr>
              <w:t>航空货运区建设项目为新建项目；</w:t>
            </w:r>
            <w:r>
              <w:rPr>
                <w:spacing w:val="-3"/>
              </w:rPr>
              <w:t>燃气管道建设项目</w:t>
            </w:r>
            <w:r>
              <w:rPr>
                <w:spacing w:val="-2"/>
                <w:kern w:val="0"/>
                <w:lang w:bidi="ar"/>
              </w:rPr>
              <w:t>东西走向段：北侧为恰克马克河，南侧为综合保税区，南北走向段：东侧水渠和村庄，西侧为综合保税区。</w:t>
            </w:r>
          </w:p>
          <w:p>
            <w:pPr>
              <w:pStyle w:val="43"/>
              <w:widowControl/>
              <w:ind w:firstLine="0" w:firstLineChars="0"/>
              <w:rPr>
                <w:rFonts w:hint="default" w:ascii="Times New Roman" w:hAnsi="Times New Roman"/>
                <w:b/>
                <w:bCs/>
                <w:spacing w:val="6"/>
              </w:rPr>
            </w:pPr>
            <w:r>
              <w:rPr>
                <w:rFonts w:hint="default" w:ascii="Times New Roman" w:hAnsi="Times New Roman"/>
                <w:b/>
                <w:bCs/>
                <w:spacing w:val="6"/>
              </w:rPr>
              <w:t>2与本项目有关的原有污染情况及主要环境问题</w:t>
            </w:r>
          </w:p>
          <w:p>
            <w:pPr>
              <w:adjustRightInd w:val="0"/>
              <w:snapToGrid w:val="0"/>
              <w:spacing w:line="360" w:lineRule="auto"/>
              <w:ind w:firstLine="480" w:firstLineChars="200"/>
              <w:rPr>
                <w:kern w:val="0"/>
              </w:rPr>
            </w:pPr>
            <w:r>
              <w:rPr>
                <w:kern w:val="0"/>
              </w:rPr>
              <w:t>燃气管道建设项目和航空货运区项目均为新建项目，</w:t>
            </w:r>
            <w:r>
              <w:t>不存在与项目有关的原有环境污染问题。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Align w:val="center"/>
          </w:tcPr>
          <w:p>
            <w:pPr>
              <w:adjustRightInd w:val="0"/>
              <w:snapToGrid w:val="0"/>
              <w:jc w:val="center"/>
              <w:rPr>
                <w:kern w:val="0"/>
              </w:rPr>
            </w:pPr>
            <w:r>
              <w:rPr>
                <w:kern w:val="0"/>
              </w:rPr>
              <w:t>生态环境保护目标</w:t>
            </w:r>
          </w:p>
        </w:tc>
        <w:tc>
          <w:tcPr>
            <w:tcW w:w="7847" w:type="dxa"/>
            <w:vAlign w:val="center"/>
          </w:tcPr>
          <w:p>
            <w:pPr>
              <w:autoSpaceDE w:val="0"/>
              <w:spacing w:before="120" w:beforeLines="50" w:line="360" w:lineRule="auto"/>
              <w:ind w:firstLine="480" w:firstLineChars="200"/>
              <w:rPr>
                <w:kern w:val="0"/>
              </w:rPr>
            </w:pPr>
            <w:r>
              <w:rPr>
                <w:kern w:val="0"/>
              </w:rPr>
              <w:t>本项目位于新疆喀什经济开发区航空货运港。根据现场勘查，该评价区内无国家、省、市级名胜古迹，自然保护区、风景游览区、疗养院等重点保护目标，因此项目建设不会对周围环境造成影响。</w:t>
            </w:r>
          </w:p>
          <w:p>
            <w:pPr>
              <w:adjustRightInd w:val="0"/>
              <w:snapToGrid w:val="0"/>
              <w:spacing w:line="360" w:lineRule="auto"/>
              <w:rPr>
                <w:b/>
              </w:rPr>
            </w:pPr>
            <w:r>
              <w:rPr>
                <w:b/>
                <w:lang w:bidi="ar"/>
              </w:rPr>
              <w:t>1环境空气保护目标</w:t>
            </w:r>
          </w:p>
          <w:p>
            <w:pPr>
              <w:adjustRightInd w:val="0"/>
              <w:snapToGrid w:val="0"/>
              <w:spacing w:line="360" w:lineRule="auto"/>
              <w:ind w:firstLine="480" w:firstLineChars="200"/>
              <w:rPr>
                <w:bCs/>
                <w:lang w:bidi="ar"/>
              </w:rPr>
            </w:pPr>
            <w:r>
              <w:rPr>
                <w:bCs/>
                <w:lang w:bidi="ar"/>
              </w:rPr>
              <w:t>距离本项目最近的居民区：本工程线路至桩号K1+860处由北向南管线段的东侧780m处为沙普艾热克村一组，因此，本项目厂界外500米范围内</w:t>
            </w:r>
            <w:r>
              <w:rPr>
                <w:rFonts w:hint="eastAsia"/>
                <w:bCs/>
                <w:lang w:eastAsia="zh-CN" w:bidi="ar"/>
              </w:rPr>
              <w:t>无</w:t>
            </w:r>
            <w:r>
              <w:rPr>
                <w:bCs/>
                <w:lang w:bidi="ar"/>
              </w:rPr>
              <w:t>居民区、自然保护区、风景名胜区、文化区等人群较集中的区域。</w:t>
            </w:r>
          </w:p>
          <w:p>
            <w:pPr>
              <w:adjustRightInd w:val="0"/>
              <w:snapToGrid w:val="0"/>
              <w:spacing w:line="360" w:lineRule="auto"/>
              <w:rPr>
                <w:b/>
              </w:rPr>
            </w:pPr>
            <w:r>
              <w:rPr>
                <w:b/>
                <w:lang w:bidi="ar"/>
              </w:rPr>
              <w:t>2地下水环境保护目标</w:t>
            </w:r>
          </w:p>
          <w:p>
            <w:pPr>
              <w:adjustRightInd w:val="0"/>
              <w:snapToGrid w:val="0"/>
              <w:spacing w:line="360" w:lineRule="auto"/>
              <w:ind w:firstLine="480" w:firstLineChars="200"/>
              <w:rPr>
                <w:bCs/>
              </w:rPr>
            </w:pPr>
            <w:r>
              <w:rPr>
                <w:bCs/>
                <w:lang w:bidi="ar"/>
              </w:rPr>
              <w:t>本工程边界外500米范围内无地下水集中式饮用水水源和热水、矿泉水、温泉等特殊地下水资源。</w:t>
            </w:r>
          </w:p>
          <w:p>
            <w:pPr>
              <w:adjustRightInd w:val="0"/>
              <w:snapToGrid w:val="0"/>
              <w:spacing w:line="360" w:lineRule="auto"/>
              <w:rPr>
                <w:b/>
                <w:lang w:bidi="ar"/>
              </w:rPr>
            </w:pPr>
            <w:r>
              <w:rPr>
                <w:b/>
                <w:lang w:bidi="ar"/>
              </w:rPr>
              <w:t>3地表水环境保护目标</w:t>
            </w:r>
          </w:p>
          <w:p>
            <w:pPr>
              <w:adjustRightInd w:val="0"/>
              <w:snapToGrid w:val="0"/>
              <w:spacing w:line="360" w:lineRule="auto"/>
              <w:ind w:firstLine="480" w:firstLineChars="200"/>
              <w:rPr>
                <w:bCs/>
                <w:lang w:bidi="ar"/>
              </w:rPr>
            </w:pPr>
            <w:r>
              <w:rPr>
                <w:bCs/>
                <w:lang w:bidi="ar"/>
              </w:rPr>
              <w:t>本工程线路至桩号K1+860处由北向南管线段的东侧80m处为麦兰孜渠，本项目施工活动范围基本在管线两侧2.5-3m，且项目试压废水直接依托货运港的污水处理设施通过管道接入排放，不会对该水渠产生影响。本项目地表水保护目标设为东侧80m处的麦兰孜渠。</w:t>
            </w:r>
          </w:p>
          <w:p>
            <w:pPr>
              <w:adjustRightInd w:val="0"/>
              <w:snapToGrid w:val="0"/>
              <w:spacing w:line="360" w:lineRule="auto"/>
              <w:rPr>
                <w:b/>
              </w:rPr>
            </w:pPr>
            <w:r>
              <w:rPr>
                <w:b/>
                <w:lang w:bidi="ar"/>
              </w:rPr>
              <w:t>3声环境保护目标</w:t>
            </w:r>
          </w:p>
          <w:p>
            <w:pPr>
              <w:adjustRightInd w:val="0"/>
              <w:snapToGrid w:val="0"/>
              <w:spacing w:line="360" w:lineRule="auto"/>
              <w:ind w:firstLine="480" w:firstLineChars="200"/>
              <w:rPr>
                <w:bCs/>
              </w:rPr>
            </w:pPr>
            <w:r>
              <w:rPr>
                <w:bCs/>
                <w:lang w:bidi="ar"/>
              </w:rPr>
              <w:t>项目区厂界外50m范围内无以居住、医疗卫生、文化教育、科研、行政办公等为主要功能的区域保护目标分布。</w:t>
            </w:r>
          </w:p>
          <w:p>
            <w:pPr>
              <w:adjustRightInd w:val="0"/>
              <w:snapToGrid w:val="0"/>
              <w:spacing w:line="360" w:lineRule="auto"/>
              <w:rPr>
                <w:b/>
              </w:rPr>
            </w:pPr>
            <w:r>
              <w:rPr>
                <w:b/>
                <w:lang w:bidi="ar"/>
              </w:rPr>
              <w:t>4生态环境保护目标</w:t>
            </w:r>
          </w:p>
          <w:p>
            <w:pPr>
              <w:spacing w:line="360" w:lineRule="auto"/>
              <w:ind w:firstLine="480" w:firstLineChars="200"/>
              <w:rPr>
                <w:bCs/>
                <w:lang w:bidi="ar"/>
              </w:rPr>
            </w:pPr>
            <w:r>
              <w:rPr>
                <w:bCs/>
                <w:lang w:bidi="ar"/>
              </w:rPr>
              <w:t>本项目位于喀什经济开发区航空货运港北侧，根据现场调查，项目区周边无生态环境保护目标。</w:t>
            </w:r>
          </w:p>
          <w:p>
            <w:pPr>
              <w:pStyle w:val="51"/>
              <w:ind w:firstLine="527"/>
              <w:jc w:val="center"/>
              <w:rPr>
                <w:rFonts w:eastAsia="宋体"/>
                <w:b/>
                <w:bCs/>
                <w:color w:val="auto"/>
                <w:sz w:val="21"/>
                <w:szCs w:val="21"/>
              </w:rPr>
            </w:pPr>
            <w:r>
              <w:rPr>
                <w:rFonts w:eastAsia="宋体"/>
                <w:b/>
                <w:bCs/>
                <w:color w:val="auto"/>
                <w:sz w:val="21"/>
                <w:szCs w:val="21"/>
              </w:rPr>
              <w:t>表3-</w:t>
            </w:r>
            <w:r>
              <w:rPr>
                <w:rFonts w:hint="eastAsia" w:eastAsia="宋体"/>
                <w:b/>
                <w:bCs/>
                <w:color w:val="auto"/>
                <w:sz w:val="21"/>
                <w:szCs w:val="21"/>
                <w:lang w:val="en-US" w:eastAsia="zh-CN"/>
              </w:rPr>
              <w:t>4</w:t>
            </w:r>
            <w:r>
              <w:rPr>
                <w:rFonts w:eastAsia="宋体"/>
                <w:b/>
                <w:bCs/>
                <w:color w:val="auto"/>
                <w:sz w:val="21"/>
                <w:szCs w:val="21"/>
              </w:rPr>
              <w:t xml:space="preserve">                 主要环境保护目标一览表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813"/>
              <w:gridCol w:w="2479"/>
              <w:gridCol w:w="1360"/>
              <w:gridCol w:w="44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446" w:type="pct"/>
                  <w:vAlign w:val="center"/>
                </w:tcPr>
                <w:p>
                  <w:pPr>
                    <w:pStyle w:val="52"/>
                    <w:rPr>
                      <w:color w:val="auto"/>
                      <w:sz w:val="21"/>
                    </w:rPr>
                  </w:pPr>
                  <w:r>
                    <w:rPr>
                      <w:color w:val="auto"/>
                      <w:sz w:val="21"/>
                    </w:rPr>
                    <w:t>环境</w:t>
                  </w:r>
                </w:p>
                <w:p>
                  <w:pPr>
                    <w:pStyle w:val="52"/>
                    <w:rPr>
                      <w:color w:val="auto"/>
                      <w:sz w:val="21"/>
                    </w:rPr>
                  </w:pPr>
                  <w:r>
                    <w:rPr>
                      <w:color w:val="auto"/>
                      <w:sz w:val="21"/>
                    </w:rPr>
                    <w:t>要素</w:t>
                  </w:r>
                </w:p>
              </w:tc>
              <w:tc>
                <w:tcPr>
                  <w:tcW w:w="1358" w:type="pct"/>
                  <w:vAlign w:val="center"/>
                </w:tcPr>
                <w:p>
                  <w:pPr>
                    <w:pStyle w:val="52"/>
                    <w:rPr>
                      <w:color w:val="auto"/>
                      <w:sz w:val="21"/>
                    </w:rPr>
                  </w:pPr>
                  <w:r>
                    <w:rPr>
                      <w:color w:val="auto"/>
                      <w:sz w:val="21"/>
                    </w:rPr>
                    <w:t>环境保护目标</w:t>
                  </w:r>
                </w:p>
              </w:tc>
              <w:tc>
                <w:tcPr>
                  <w:tcW w:w="745" w:type="pct"/>
                  <w:vAlign w:val="center"/>
                </w:tcPr>
                <w:p>
                  <w:pPr>
                    <w:pStyle w:val="52"/>
                    <w:rPr>
                      <w:color w:val="auto"/>
                      <w:sz w:val="21"/>
                    </w:rPr>
                  </w:pPr>
                  <w:r>
                    <w:rPr>
                      <w:color w:val="auto"/>
                      <w:sz w:val="21"/>
                    </w:rPr>
                    <w:t>方位及距离</w:t>
                  </w:r>
                </w:p>
              </w:tc>
              <w:tc>
                <w:tcPr>
                  <w:tcW w:w="2449" w:type="pct"/>
                  <w:vAlign w:val="center"/>
                </w:tcPr>
                <w:p>
                  <w:pPr>
                    <w:pStyle w:val="52"/>
                    <w:rPr>
                      <w:color w:val="auto"/>
                      <w:sz w:val="21"/>
                    </w:rPr>
                  </w:pPr>
                  <w:r>
                    <w:rPr>
                      <w:color w:val="auto"/>
                      <w:sz w:val="21"/>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cantSplit/>
                <w:trHeight w:val="340" w:hRule="atLeast"/>
                <w:jc w:val="center"/>
              </w:trPr>
              <w:tc>
                <w:tcPr>
                  <w:tcW w:w="446" w:type="pct"/>
                  <w:vAlign w:val="center"/>
                </w:tcPr>
                <w:p>
                  <w:pPr>
                    <w:pStyle w:val="52"/>
                    <w:rPr>
                      <w:color w:val="auto"/>
                      <w:sz w:val="21"/>
                    </w:rPr>
                  </w:pPr>
                  <w:r>
                    <w:rPr>
                      <w:color w:val="auto"/>
                      <w:sz w:val="21"/>
                    </w:rPr>
                    <w:t>地表水</w:t>
                  </w:r>
                </w:p>
              </w:tc>
              <w:tc>
                <w:tcPr>
                  <w:tcW w:w="1358" w:type="pct"/>
                  <w:vAlign w:val="center"/>
                </w:tcPr>
                <w:p>
                  <w:pPr>
                    <w:pStyle w:val="52"/>
                    <w:rPr>
                      <w:color w:val="auto"/>
                      <w:sz w:val="21"/>
                    </w:rPr>
                  </w:pPr>
                  <w:r>
                    <w:rPr>
                      <w:bCs/>
                      <w:color w:val="auto"/>
                      <w:kern w:val="2"/>
                      <w:sz w:val="21"/>
                      <w:lang w:bidi="ar"/>
                    </w:rPr>
                    <w:t>麦兰孜渠</w:t>
                  </w:r>
                </w:p>
              </w:tc>
              <w:tc>
                <w:tcPr>
                  <w:tcW w:w="745" w:type="pct"/>
                  <w:vAlign w:val="center"/>
                </w:tcPr>
                <w:p>
                  <w:pPr>
                    <w:pStyle w:val="52"/>
                    <w:rPr>
                      <w:color w:val="auto"/>
                      <w:sz w:val="21"/>
                    </w:rPr>
                  </w:pPr>
                  <w:r>
                    <w:rPr>
                      <w:color w:val="auto"/>
                      <w:sz w:val="21"/>
                    </w:rPr>
                    <w:t>E/80m</w:t>
                  </w:r>
                </w:p>
              </w:tc>
              <w:tc>
                <w:tcPr>
                  <w:tcW w:w="2449" w:type="pct"/>
                  <w:vAlign w:val="center"/>
                </w:tcPr>
                <w:p>
                  <w:pPr>
                    <w:pStyle w:val="52"/>
                    <w:rPr>
                      <w:color w:val="auto"/>
                      <w:sz w:val="21"/>
                    </w:rPr>
                  </w:pPr>
                  <w:r>
                    <w:rPr>
                      <w:color w:val="auto"/>
                      <w:sz w:val="21"/>
                    </w:rPr>
                    <w:t>与之不产生水力联系，保证不</w:t>
                  </w:r>
                  <w:r>
                    <w:rPr>
                      <w:rFonts w:hint="eastAsia"/>
                      <w:color w:val="auto"/>
                      <w:sz w:val="21"/>
                      <w:lang w:eastAsia="zh-CN"/>
                    </w:rPr>
                    <w:t>受</w:t>
                  </w:r>
                  <w:r>
                    <w:rPr>
                      <w:color w:val="auto"/>
                      <w:sz w:val="21"/>
                    </w:rPr>
                    <w:t>本项目影响</w:t>
                  </w:r>
                </w:p>
              </w:tc>
            </w:tr>
          </w:tbl>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51"/>
              <w:ind w:firstLine="527"/>
              <w:jc w:val="center"/>
              <w:rPr>
                <w:rFonts w:eastAsia="宋体"/>
                <w:b/>
                <w:bCs/>
                <w:color w:val="auto"/>
                <w:sz w:val="21"/>
                <w:szCs w:val="21"/>
              </w:rPr>
            </w:pPr>
          </w:p>
          <w:p>
            <w:pPr>
              <w:pStyle w:val="15"/>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Align w:val="center"/>
          </w:tcPr>
          <w:p>
            <w:pPr>
              <w:adjustRightInd w:val="0"/>
              <w:snapToGrid w:val="0"/>
              <w:jc w:val="center"/>
              <w:rPr>
                <w:kern w:val="0"/>
              </w:rPr>
            </w:pPr>
            <w:r>
              <w:rPr>
                <w:kern w:val="0"/>
              </w:rPr>
              <w:t>评价标准</w:t>
            </w:r>
          </w:p>
        </w:tc>
        <w:tc>
          <w:tcPr>
            <w:tcW w:w="7847" w:type="dxa"/>
            <w:vAlign w:val="center"/>
          </w:tcPr>
          <w:p>
            <w:pPr>
              <w:spacing w:before="120" w:beforeLines="50" w:line="360" w:lineRule="auto"/>
              <w:rPr>
                <w:b/>
                <w:bCs/>
              </w:rPr>
            </w:pPr>
            <w:r>
              <w:rPr>
                <w:b/>
                <w:bCs/>
              </w:rPr>
              <w:t>1、燃气管道建设项目</w:t>
            </w:r>
          </w:p>
          <w:p>
            <w:pPr>
              <w:spacing w:before="120" w:beforeLines="50" w:line="360" w:lineRule="auto"/>
              <w:rPr>
                <w:b/>
                <w:bCs/>
              </w:rPr>
            </w:pPr>
            <w:r>
              <w:rPr>
                <w:b/>
                <w:bCs/>
              </w:rPr>
              <w:t>（1）环境质量标准</w:t>
            </w:r>
          </w:p>
          <w:p>
            <w:pPr>
              <w:adjustRightInd w:val="0"/>
              <w:snapToGrid w:val="0"/>
              <w:spacing w:line="360" w:lineRule="auto"/>
              <w:ind w:firstLine="480" w:firstLineChars="200"/>
              <w:rPr>
                <w:color w:val="FF0000"/>
                <w:sz w:val="24"/>
                <w:szCs w:val="24"/>
              </w:rPr>
            </w:pPr>
            <w:r>
              <w:rPr>
                <w:sz w:val="24"/>
                <w:szCs w:val="24"/>
              </w:rPr>
              <w:t>1）《环境空气质量标准》（GB3095-2012）中二级标准及修改单；</w:t>
            </w:r>
            <w:r>
              <w:rPr>
                <w:color w:val="FF0000"/>
                <w:sz w:val="24"/>
                <w:szCs w:val="24"/>
              </w:rPr>
              <w:t>2）《声环境质量标准》（GB3096-2008）中3类区标准。</w:t>
            </w:r>
          </w:p>
          <w:p>
            <w:pPr>
              <w:spacing w:line="360" w:lineRule="auto"/>
              <w:rPr>
                <w:b/>
                <w:bCs/>
              </w:rPr>
            </w:pPr>
            <w:r>
              <w:rPr>
                <w:b/>
                <w:bCs/>
              </w:rPr>
              <w:t>（2）污染物排放标准</w:t>
            </w:r>
          </w:p>
          <w:p>
            <w:pPr>
              <w:spacing w:line="360" w:lineRule="auto"/>
              <w:ind w:firstLine="480" w:firstLineChars="200"/>
            </w:pPr>
            <w:r>
              <w:t>1）施工期粉尘执行《大气污染物综合排放标准》（GB16297-1996）中表2颗粒物无组织排放监控浓度限值；2）施工期噪声执行《建筑施工场界环境噪声排放标准》（GB12523-2011）标准限值；3）施工期固废执行《一般工业固体废物贮存和填埋污染控制标准》(GB18599-2020)中相关标准。</w:t>
            </w:r>
          </w:p>
          <w:p>
            <w:pPr>
              <w:spacing w:line="360" w:lineRule="auto"/>
              <w:rPr>
                <w:b/>
                <w:bCs/>
                <w:spacing w:val="7"/>
              </w:rPr>
            </w:pPr>
            <w:r>
              <w:rPr>
                <w:b/>
                <w:bCs/>
                <w:spacing w:val="7"/>
              </w:rPr>
              <w:t>2、航空货运区项目</w:t>
            </w:r>
          </w:p>
          <w:p>
            <w:pPr>
              <w:wordWrap w:val="0"/>
              <w:spacing w:line="360" w:lineRule="auto"/>
              <w:ind w:firstLine="480" w:firstLineChars="200"/>
            </w:pPr>
            <w:r>
              <w:t>1）非甲烷总烃有组织排放执行《合成树脂工业污染物排放标准》（GB31572-2015）表4非甲烷总烃排放限值100mg/m³，厂区内无组织非甲烷总烃可以满足《挥发性有机物无组织排放控制标准》（GB37822—2019）附录A厂区内VOCs无组织排放监控要求（10.0mg/m³）；厂界无组织非甲烷总烃执行《合成树脂工业污染物排放标准》（GB31572-2015）表9非甲烷企业边界浓度限值4.0mg/m³。</w:t>
            </w:r>
          </w:p>
          <w:p>
            <w:pPr>
              <w:spacing w:line="360" w:lineRule="auto"/>
              <w:ind w:firstLine="480" w:firstLineChars="200"/>
            </w:pPr>
            <w:r>
              <w:t>2）运营期生活污水执行《污水综合排放标准》（GB8978-1996）表4中三级标准限值，具体指标详见表3-</w:t>
            </w:r>
            <w:r>
              <w:rPr>
                <w:rFonts w:hint="eastAsia"/>
              </w:rPr>
              <w:t>7</w:t>
            </w:r>
            <w:r>
              <w:t>。</w:t>
            </w:r>
          </w:p>
          <w:p>
            <w:pPr>
              <w:jc w:val="center"/>
              <w:rPr>
                <w:b/>
                <w:bCs/>
              </w:rPr>
            </w:pPr>
            <w:r>
              <w:rPr>
                <w:b/>
                <w:bCs/>
              </w:rPr>
              <w:t>表3-</w:t>
            </w:r>
            <w:r>
              <w:rPr>
                <w:rFonts w:hint="eastAsia"/>
                <w:b/>
                <w:bCs/>
              </w:rPr>
              <w:t>7</w:t>
            </w:r>
            <w:r>
              <w:rPr>
                <w:b/>
                <w:bCs/>
              </w:rPr>
              <w:t xml:space="preserve">   污水综合排放标准 （单位：mg/L）</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1885"/>
              <w:gridCol w:w="1728"/>
              <w:gridCol w:w="2018"/>
              <w:gridCol w:w="17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97" w:hRule="atLeast"/>
                <w:jc w:val="center"/>
              </w:trPr>
              <w:tc>
                <w:tcPr>
                  <w:tcW w:w="941" w:type="pct"/>
                  <w:vAlign w:val="center"/>
                </w:tcPr>
                <w:p>
                  <w:pPr>
                    <w:jc w:val="center"/>
                  </w:pPr>
                  <w:r>
                    <w:t>pH</w:t>
                  </w:r>
                </w:p>
              </w:tc>
              <w:tc>
                <w:tcPr>
                  <w:tcW w:w="1033" w:type="pct"/>
                  <w:vAlign w:val="center"/>
                </w:tcPr>
                <w:p>
                  <w:pPr>
                    <w:jc w:val="center"/>
                  </w:pPr>
                  <w:r>
                    <w:t>COD</w:t>
                  </w:r>
                </w:p>
              </w:tc>
              <w:tc>
                <w:tcPr>
                  <w:tcW w:w="947" w:type="pct"/>
                  <w:vAlign w:val="center"/>
                </w:tcPr>
                <w:p>
                  <w:pPr>
                    <w:jc w:val="center"/>
                  </w:pPr>
                  <w:r>
                    <w:t>BOD</w:t>
                  </w:r>
                  <w:r>
                    <w:rPr>
                      <w:vertAlign w:val="subscript"/>
                    </w:rPr>
                    <w:t>5</w:t>
                  </w:r>
                </w:p>
              </w:tc>
              <w:tc>
                <w:tcPr>
                  <w:tcW w:w="1106" w:type="pct"/>
                  <w:vAlign w:val="center"/>
                </w:tcPr>
                <w:p>
                  <w:pPr>
                    <w:jc w:val="center"/>
                  </w:pPr>
                  <w:r>
                    <w:t>氨氮</w:t>
                  </w:r>
                </w:p>
              </w:tc>
              <w:tc>
                <w:tcPr>
                  <w:tcW w:w="970" w:type="pct"/>
                  <w:vAlign w:val="center"/>
                </w:tcPr>
                <w:p>
                  <w:pPr>
                    <w:jc w:val="center"/>
                  </w:pPr>
                  <w: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41" w:type="pct"/>
                  <w:vAlign w:val="center"/>
                </w:tcPr>
                <w:p>
                  <w:pPr>
                    <w:jc w:val="center"/>
                  </w:pPr>
                  <w:r>
                    <w:t>6.0~9.0</w:t>
                  </w:r>
                </w:p>
              </w:tc>
              <w:tc>
                <w:tcPr>
                  <w:tcW w:w="1033" w:type="pct"/>
                  <w:vAlign w:val="center"/>
                </w:tcPr>
                <w:p>
                  <w:pPr>
                    <w:jc w:val="center"/>
                  </w:pPr>
                  <w:r>
                    <w:t>500</w:t>
                  </w:r>
                </w:p>
              </w:tc>
              <w:tc>
                <w:tcPr>
                  <w:tcW w:w="947" w:type="pct"/>
                  <w:vAlign w:val="center"/>
                </w:tcPr>
                <w:p>
                  <w:pPr>
                    <w:jc w:val="center"/>
                  </w:pPr>
                  <w:r>
                    <w:t>300</w:t>
                  </w:r>
                </w:p>
              </w:tc>
              <w:tc>
                <w:tcPr>
                  <w:tcW w:w="1106" w:type="pct"/>
                  <w:vAlign w:val="center"/>
                </w:tcPr>
                <w:p>
                  <w:pPr>
                    <w:jc w:val="center"/>
                  </w:pPr>
                  <w:r>
                    <w:t>--</w:t>
                  </w:r>
                </w:p>
              </w:tc>
              <w:tc>
                <w:tcPr>
                  <w:tcW w:w="970" w:type="pct"/>
                  <w:vAlign w:val="center"/>
                </w:tcPr>
                <w:p>
                  <w:pPr>
                    <w:jc w:val="center"/>
                  </w:pPr>
                  <w:r>
                    <w:t>400</w:t>
                  </w:r>
                </w:p>
              </w:tc>
            </w:tr>
          </w:tbl>
          <w:p>
            <w:pPr>
              <w:wordWrap w:val="0"/>
              <w:spacing w:before="120" w:beforeLines="50" w:line="360" w:lineRule="auto"/>
              <w:ind w:firstLine="480" w:firstLineChars="200"/>
            </w:pPr>
            <w:r>
              <w:t>3）运营期厂界噪声执行《工业企业厂界环境噪声排放标准》（GB12348-2008）中2类声环境功能区标准。</w:t>
            </w:r>
          </w:p>
          <w:p>
            <w:pPr>
              <w:spacing w:line="360" w:lineRule="auto"/>
              <w:ind w:firstLine="480" w:firstLineChars="200"/>
            </w:pPr>
            <w:r>
              <w:t>4）一般固废处置执行《一般工业固体废物贮存和填埋污染控制标准》（GB18599-2020）要求；危险废物暂存执行《危险废物贮存污染控制标准》（GB18597-2023）的相关要求。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9" w:type="dxa"/>
            <w:vAlign w:val="center"/>
          </w:tcPr>
          <w:p>
            <w:pPr>
              <w:adjustRightInd w:val="0"/>
              <w:snapToGrid w:val="0"/>
              <w:jc w:val="center"/>
              <w:rPr>
                <w:kern w:val="0"/>
              </w:rPr>
            </w:pPr>
            <w:r>
              <w:rPr>
                <w:kern w:val="0"/>
              </w:rPr>
              <w:t>其他</w:t>
            </w:r>
          </w:p>
        </w:tc>
        <w:tc>
          <w:tcPr>
            <w:tcW w:w="7847" w:type="dxa"/>
            <w:vAlign w:val="center"/>
          </w:tcPr>
          <w:p>
            <w:pPr>
              <w:spacing w:before="120" w:beforeLines="50" w:line="360" w:lineRule="auto"/>
              <w:ind w:firstLine="482" w:firstLineChars="200"/>
              <w:rPr>
                <w:b/>
                <w:bCs/>
                <w:spacing w:val="7"/>
              </w:rPr>
            </w:pPr>
            <w:r>
              <w:rPr>
                <w:b/>
                <w:bCs/>
              </w:rPr>
              <w:t>燃气管道建设项目和</w:t>
            </w:r>
            <w:r>
              <w:rPr>
                <w:b/>
                <w:bCs/>
                <w:spacing w:val="7"/>
              </w:rPr>
              <w:t>航空货运区项目</w:t>
            </w:r>
          </w:p>
          <w:p>
            <w:pPr>
              <w:spacing w:line="360" w:lineRule="auto"/>
              <w:ind w:firstLine="480" w:firstLineChars="200"/>
              <w:rPr>
                <w:kern w:val="0"/>
              </w:rPr>
            </w:pPr>
            <w:r>
              <w:t>综合考虑项目的排污特点、所在区域的环境质量现状等因素，本环评不建议总量控制指标。</w:t>
            </w:r>
          </w:p>
        </w:tc>
      </w:tr>
    </w:tbl>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kern w:val="2"/>
          <w:sz w:val="36"/>
          <w:szCs w:val="36"/>
        </w:rPr>
        <w:br w:type="page"/>
      </w:r>
      <w:r>
        <w:rPr>
          <w:rFonts w:ascii="Times New Roman" w:hAnsi="Times New Roman" w:eastAsia="黑体"/>
          <w:snapToGrid w:val="0"/>
          <w:sz w:val="30"/>
          <w:szCs w:val="30"/>
        </w:rPr>
        <w:t>四、生态环境影响分析</w:t>
      </w:r>
    </w:p>
    <w:tbl>
      <w:tblPr>
        <w:tblStyle w:val="23"/>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39" w:type="dxa"/>
            <w:tcMar>
              <w:left w:w="28" w:type="dxa"/>
              <w:right w:w="28" w:type="dxa"/>
            </w:tcMar>
            <w:vAlign w:val="center"/>
          </w:tcPr>
          <w:p>
            <w:pPr>
              <w:jc w:val="center"/>
            </w:pPr>
            <w:bookmarkStart w:id="0" w:name="_Hlk49796138"/>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t>施工期生态环境影响分析</w:t>
            </w:r>
            <w:bookmarkEnd w:id="0"/>
          </w:p>
        </w:tc>
        <w:tc>
          <w:tcPr>
            <w:tcW w:w="7965" w:type="dxa"/>
          </w:tcPr>
          <w:p>
            <w:pPr>
              <w:spacing w:before="120" w:beforeLines="50" w:line="360" w:lineRule="auto"/>
              <w:rPr>
                <w:b/>
                <w:bCs/>
                <w:lang w:bidi="ar"/>
              </w:rPr>
            </w:pPr>
            <w:r>
              <w:rPr>
                <w:b/>
                <w:bCs/>
              </w:rPr>
              <w:t>1、燃气管道建设项目</w:t>
            </w:r>
          </w:p>
          <w:p>
            <w:pPr>
              <w:spacing w:line="360" w:lineRule="auto"/>
              <w:ind w:firstLine="482" w:firstLineChars="200"/>
              <w:rPr>
                <w:b/>
                <w:bCs/>
              </w:rPr>
            </w:pPr>
            <w:r>
              <w:rPr>
                <w:b/>
                <w:bCs/>
                <w:lang w:bidi="ar"/>
              </w:rPr>
              <w:t>（1）施工期大气环境影响分析</w:t>
            </w:r>
          </w:p>
          <w:p>
            <w:pPr>
              <w:pStyle w:val="19"/>
              <w:widowControl w:val="0"/>
              <w:adjustRightInd w:val="0"/>
              <w:snapToGrid w:val="0"/>
              <w:spacing w:before="0" w:beforeAutospacing="0" w:after="0" w:afterAutospacing="0" w:line="360" w:lineRule="auto"/>
              <w:ind w:firstLine="480" w:firstLineChars="200"/>
              <w:jc w:val="both"/>
              <w:rPr>
                <w:rFonts w:ascii="Times New Roman" w:hAnsi="Times New Roman"/>
                <w:szCs w:val="24"/>
              </w:rPr>
            </w:pPr>
            <w:r>
              <w:rPr>
                <w:rFonts w:ascii="Times New Roman" w:hAnsi="Times New Roman"/>
                <w:szCs w:val="24"/>
                <w:lang w:bidi="ar"/>
              </w:rPr>
              <w:t>施工期对环境空气的影响主要</w:t>
            </w:r>
            <w:r>
              <w:rPr>
                <w:rFonts w:hint="eastAsia" w:ascii="Times New Roman" w:hAnsi="Times New Roman"/>
                <w:szCs w:val="24"/>
                <w:lang w:eastAsia="zh-CN" w:bidi="ar"/>
              </w:rPr>
              <w:t>来自</w:t>
            </w:r>
            <w:r>
              <w:rPr>
                <w:rFonts w:ascii="Times New Roman" w:hAnsi="Times New Roman"/>
                <w:szCs w:val="24"/>
                <w:lang w:bidi="ar"/>
              </w:rPr>
              <w:t>土方工程、混凝土施工等产生的施工扬尘；运输车辆引起的扬尘及尾气；施工机械产生的机械尾气，其中以施工扬尘的影响最大。</w:t>
            </w:r>
          </w:p>
          <w:p>
            <w:pPr>
              <w:spacing w:line="360" w:lineRule="auto"/>
              <w:ind w:firstLine="480" w:firstLineChars="200"/>
            </w:pPr>
            <w:r>
              <w:rPr>
                <w:lang w:bidi="ar"/>
              </w:rPr>
              <w:t>施工期主要污染工序见表4-1。</w:t>
            </w:r>
          </w:p>
          <w:p>
            <w:pPr>
              <w:autoSpaceDE w:val="0"/>
              <w:jc w:val="center"/>
              <w:rPr>
                <w:b/>
                <w:bCs/>
                <w:sz w:val="21"/>
                <w:szCs w:val="21"/>
                <w:lang w:bidi="ar"/>
              </w:rPr>
            </w:pPr>
            <w:r>
              <w:rPr>
                <w:b/>
                <w:bCs/>
                <w:sz w:val="21"/>
                <w:szCs w:val="21"/>
                <w:lang w:bidi="ar"/>
              </w:rPr>
              <w:t>表4-1    施工期主要污染工序一览表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86"/>
              <w:gridCol w:w="2727"/>
              <w:gridCol w:w="2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Align w:val="center"/>
                </w:tcPr>
                <w:p>
                  <w:pPr>
                    <w:jc w:val="center"/>
                    <w:rPr>
                      <w:sz w:val="21"/>
                      <w:szCs w:val="21"/>
                    </w:rPr>
                  </w:pPr>
                  <w:r>
                    <w:rPr>
                      <w:sz w:val="21"/>
                      <w:szCs w:val="21"/>
                    </w:rPr>
                    <w:t>污染类别</w:t>
                  </w:r>
                </w:p>
              </w:tc>
              <w:tc>
                <w:tcPr>
                  <w:tcW w:w="1024" w:type="pct"/>
                  <w:vAlign w:val="center"/>
                </w:tcPr>
                <w:p>
                  <w:pPr>
                    <w:jc w:val="center"/>
                    <w:rPr>
                      <w:sz w:val="21"/>
                      <w:szCs w:val="21"/>
                    </w:rPr>
                  </w:pPr>
                  <w:r>
                    <w:rPr>
                      <w:sz w:val="21"/>
                      <w:szCs w:val="21"/>
                    </w:rPr>
                    <w:t>污染源名称</w:t>
                  </w:r>
                </w:p>
              </w:tc>
              <w:tc>
                <w:tcPr>
                  <w:tcW w:w="1760" w:type="pct"/>
                  <w:vAlign w:val="center"/>
                </w:tcPr>
                <w:p>
                  <w:pPr>
                    <w:jc w:val="center"/>
                    <w:rPr>
                      <w:sz w:val="21"/>
                      <w:szCs w:val="21"/>
                    </w:rPr>
                  </w:pPr>
                  <w:r>
                    <w:rPr>
                      <w:sz w:val="21"/>
                      <w:szCs w:val="21"/>
                    </w:rPr>
                    <w:t>产生工序</w:t>
                  </w:r>
                </w:p>
              </w:tc>
              <w:tc>
                <w:tcPr>
                  <w:tcW w:w="1479" w:type="pct"/>
                  <w:vAlign w:val="center"/>
                </w:tcPr>
                <w:p>
                  <w:pPr>
                    <w:jc w:val="center"/>
                    <w:rPr>
                      <w:sz w:val="21"/>
                      <w:szCs w:val="21"/>
                    </w:rPr>
                  </w:pPr>
                  <w:r>
                    <w:rPr>
                      <w:sz w:val="21"/>
                      <w:szCs w:val="21"/>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vAlign w:val="center"/>
                </w:tcPr>
                <w:p>
                  <w:pPr>
                    <w:jc w:val="center"/>
                    <w:rPr>
                      <w:sz w:val="21"/>
                      <w:szCs w:val="21"/>
                    </w:rPr>
                  </w:pPr>
                  <w:r>
                    <w:rPr>
                      <w:sz w:val="21"/>
                      <w:szCs w:val="21"/>
                    </w:rPr>
                    <w:t>废气</w:t>
                  </w:r>
                </w:p>
              </w:tc>
              <w:tc>
                <w:tcPr>
                  <w:tcW w:w="1024" w:type="pct"/>
                  <w:vAlign w:val="center"/>
                </w:tcPr>
                <w:p>
                  <w:pPr>
                    <w:jc w:val="center"/>
                    <w:rPr>
                      <w:sz w:val="21"/>
                      <w:szCs w:val="21"/>
                    </w:rPr>
                  </w:pPr>
                  <w:r>
                    <w:rPr>
                      <w:sz w:val="21"/>
                      <w:szCs w:val="21"/>
                    </w:rPr>
                    <w:t>施工场地</w:t>
                  </w:r>
                </w:p>
              </w:tc>
              <w:tc>
                <w:tcPr>
                  <w:tcW w:w="1760" w:type="pct"/>
                  <w:vAlign w:val="center"/>
                </w:tcPr>
                <w:p>
                  <w:pPr>
                    <w:jc w:val="center"/>
                    <w:rPr>
                      <w:sz w:val="21"/>
                      <w:szCs w:val="21"/>
                    </w:rPr>
                  </w:pPr>
                  <w:r>
                    <w:rPr>
                      <w:sz w:val="21"/>
                      <w:szCs w:val="21"/>
                    </w:rPr>
                    <w:t>表土剥离、管沟开挖、弃土堆放、清运、回填及场地平整</w:t>
                  </w:r>
                </w:p>
              </w:tc>
              <w:tc>
                <w:tcPr>
                  <w:tcW w:w="1479" w:type="pct"/>
                  <w:vAlign w:val="center"/>
                </w:tcPr>
                <w:p>
                  <w:pPr>
                    <w:jc w:val="center"/>
                    <w:rPr>
                      <w:sz w:val="21"/>
                      <w:szCs w:val="21"/>
                    </w:rPr>
                  </w:pPr>
                  <w:r>
                    <w:rPr>
                      <w:sz w:val="21"/>
                      <w:szCs w:val="21"/>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vAlign w:val="center"/>
                </w:tcPr>
                <w:p>
                  <w:pPr>
                    <w:jc w:val="center"/>
                    <w:rPr>
                      <w:sz w:val="21"/>
                      <w:szCs w:val="21"/>
                    </w:rPr>
                  </w:pPr>
                </w:p>
              </w:tc>
              <w:tc>
                <w:tcPr>
                  <w:tcW w:w="1024" w:type="pct"/>
                  <w:vAlign w:val="center"/>
                </w:tcPr>
                <w:p>
                  <w:pPr>
                    <w:jc w:val="center"/>
                    <w:rPr>
                      <w:sz w:val="21"/>
                      <w:szCs w:val="21"/>
                    </w:rPr>
                  </w:pPr>
                  <w:r>
                    <w:rPr>
                      <w:sz w:val="21"/>
                      <w:szCs w:val="21"/>
                    </w:rPr>
                    <w:t>燃油动力设备</w:t>
                  </w:r>
                </w:p>
                <w:p>
                  <w:pPr>
                    <w:jc w:val="center"/>
                    <w:rPr>
                      <w:sz w:val="21"/>
                      <w:szCs w:val="21"/>
                    </w:rPr>
                  </w:pPr>
                  <w:r>
                    <w:rPr>
                      <w:sz w:val="21"/>
                      <w:szCs w:val="21"/>
                    </w:rPr>
                    <w:t>运输车辆</w:t>
                  </w:r>
                </w:p>
              </w:tc>
              <w:tc>
                <w:tcPr>
                  <w:tcW w:w="1760" w:type="pct"/>
                  <w:vAlign w:val="center"/>
                </w:tcPr>
                <w:p>
                  <w:pPr>
                    <w:jc w:val="center"/>
                    <w:rPr>
                      <w:sz w:val="21"/>
                      <w:szCs w:val="21"/>
                    </w:rPr>
                  </w:pPr>
                  <w:r>
                    <w:rPr>
                      <w:sz w:val="21"/>
                      <w:szCs w:val="21"/>
                    </w:rPr>
                    <w:t>燃油动力设备</w:t>
                  </w:r>
                </w:p>
                <w:p>
                  <w:pPr>
                    <w:jc w:val="center"/>
                    <w:rPr>
                      <w:sz w:val="21"/>
                      <w:szCs w:val="21"/>
                    </w:rPr>
                  </w:pPr>
                  <w:r>
                    <w:rPr>
                      <w:sz w:val="21"/>
                      <w:szCs w:val="21"/>
                    </w:rPr>
                    <w:t>运输车辆运行</w:t>
                  </w:r>
                </w:p>
              </w:tc>
              <w:tc>
                <w:tcPr>
                  <w:tcW w:w="1479" w:type="pct"/>
                  <w:vAlign w:val="center"/>
                </w:tcPr>
                <w:p>
                  <w:pPr>
                    <w:jc w:val="center"/>
                    <w:rPr>
                      <w:sz w:val="21"/>
                      <w:szCs w:val="21"/>
                    </w:rPr>
                  </w:pPr>
                  <w:r>
                    <w:rPr>
                      <w:sz w:val="21"/>
                      <w:szCs w:val="21"/>
                    </w:rPr>
                    <w:t>尾气（SO</w:t>
                  </w:r>
                  <w:r>
                    <w:rPr>
                      <w:sz w:val="21"/>
                      <w:szCs w:val="21"/>
                      <w:vertAlign w:val="subscript"/>
                    </w:rPr>
                    <w:t>2</w:t>
                  </w:r>
                  <w:r>
                    <w:rPr>
                      <w:sz w:val="21"/>
                      <w:szCs w:val="21"/>
                    </w:rPr>
                    <w:t>、颗粒物、总烃、CO、NO</w:t>
                  </w:r>
                  <w:r>
                    <w:rPr>
                      <w:sz w:val="21"/>
                      <w:szCs w:val="21"/>
                      <w:vertAlign w:val="subscript"/>
                    </w:rPr>
                    <w:t>x</w:t>
                  </w: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vAlign w:val="center"/>
                </w:tcPr>
                <w:p>
                  <w:pPr>
                    <w:jc w:val="center"/>
                    <w:rPr>
                      <w:sz w:val="21"/>
                      <w:szCs w:val="21"/>
                    </w:rPr>
                  </w:pPr>
                </w:p>
              </w:tc>
              <w:tc>
                <w:tcPr>
                  <w:tcW w:w="1024" w:type="pct"/>
                  <w:vAlign w:val="center"/>
                </w:tcPr>
                <w:p>
                  <w:pPr>
                    <w:jc w:val="center"/>
                    <w:rPr>
                      <w:sz w:val="21"/>
                      <w:szCs w:val="21"/>
                    </w:rPr>
                  </w:pPr>
                  <w:r>
                    <w:rPr>
                      <w:sz w:val="21"/>
                      <w:szCs w:val="21"/>
                    </w:rPr>
                    <w:t>焊接设备</w:t>
                  </w:r>
                </w:p>
              </w:tc>
              <w:tc>
                <w:tcPr>
                  <w:tcW w:w="1760" w:type="pct"/>
                  <w:vAlign w:val="center"/>
                </w:tcPr>
                <w:p>
                  <w:pPr>
                    <w:jc w:val="center"/>
                    <w:rPr>
                      <w:sz w:val="21"/>
                      <w:szCs w:val="21"/>
                    </w:rPr>
                  </w:pPr>
                  <w:r>
                    <w:rPr>
                      <w:sz w:val="21"/>
                      <w:szCs w:val="21"/>
                    </w:rPr>
                    <w:t>管道焊接工序</w:t>
                  </w:r>
                </w:p>
              </w:tc>
              <w:tc>
                <w:tcPr>
                  <w:tcW w:w="1479" w:type="pct"/>
                  <w:vAlign w:val="center"/>
                </w:tcPr>
                <w:p>
                  <w:pPr>
                    <w:jc w:val="center"/>
                    <w:rPr>
                      <w:sz w:val="21"/>
                      <w:szCs w:val="21"/>
                    </w:rPr>
                  </w:pPr>
                  <w:r>
                    <w:rPr>
                      <w:sz w:val="21"/>
                      <w:szCs w:val="21"/>
                    </w:rPr>
                    <w:t>焊接废气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Align w:val="center"/>
                </w:tcPr>
                <w:p>
                  <w:pPr>
                    <w:jc w:val="center"/>
                    <w:rPr>
                      <w:sz w:val="21"/>
                      <w:szCs w:val="21"/>
                    </w:rPr>
                  </w:pPr>
                  <w:r>
                    <w:rPr>
                      <w:sz w:val="21"/>
                      <w:szCs w:val="21"/>
                    </w:rPr>
                    <w:t>废水</w:t>
                  </w:r>
                </w:p>
              </w:tc>
              <w:tc>
                <w:tcPr>
                  <w:tcW w:w="1024" w:type="pct"/>
                  <w:vAlign w:val="center"/>
                </w:tcPr>
                <w:p>
                  <w:pPr>
                    <w:jc w:val="center"/>
                    <w:rPr>
                      <w:sz w:val="21"/>
                      <w:szCs w:val="21"/>
                    </w:rPr>
                  </w:pPr>
                  <w:r>
                    <w:rPr>
                      <w:sz w:val="21"/>
                      <w:szCs w:val="21"/>
                    </w:rPr>
                    <w:t>施工废水</w:t>
                  </w:r>
                </w:p>
              </w:tc>
              <w:tc>
                <w:tcPr>
                  <w:tcW w:w="1760" w:type="pct"/>
                  <w:vAlign w:val="center"/>
                </w:tcPr>
                <w:p>
                  <w:pPr>
                    <w:jc w:val="center"/>
                    <w:rPr>
                      <w:sz w:val="21"/>
                      <w:szCs w:val="21"/>
                    </w:rPr>
                  </w:pPr>
                  <w:r>
                    <w:rPr>
                      <w:sz w:val="21"/>
                      <w:szCs w:val="21"/>
                    </w:rPr>
                    <w:t>施工作业过程</w:t>
                  </w:r>
                </w:p>
              </w:tc>
              <w:tc>
                <w:tcPr>
                  <w:tcW w:w="1479" w:type="pct"/>
                  <w:vAlign w:val="center"/>
                </w:tcPr>
                <w:p>
                  <w:pPr>
                    <w:jc w:val="center"/>
                    <w:rPr>
                      <w:sz w:val="21"/>
                      <w:szCs w:val="21"/>
                    </w:rPr>
                  </w:pPr>
                  <w:r>
                    <w:rPr>
                      <w:sz w:val="21"/>
                      <w:szCs w:val="21"/>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5" w:type="pct"/>
                  <w:vAlign w:val="center"/>
                </w:tcPr>
                <w:p>
                  <w:pPr>
                    <w:jc w:val="center"/>
                    <w:rPr>
                      <w:sz w:val="21"/>
                      <w:szCs w:val="21"/>
                    </w:rPr>
                  </w:pPr>
                  <w:r>
                    <w:rPr>
                      <w:sz w:val="21"/>
                      <w:szCs w:val="21"/>
                    </w:rPr>
                    <w:t>噪声</w:t>
                  </w:r>
                </w:p>
              </w:tc>
              <w:tc>
                <w:tcPr>
                  <w:tcW w:w="1024" w:type="pct"/>
                  <w:vAlign w:val="center"/>
                </w:tcPr>
                <w:p>
                  <w:pPr>
                    <w:jc w:val="center"/>
                    <w:rPr>
                      <w:sz w:val="21"/>
                      <w:szCs w:val="21"/>
                    </w:rPr>
                  </w:pPr>
                  <w:r>
                    <w:rPr>
                      <w:sz w:val="21"/>
                      <w:szCs w:val="21"/>
                    </w:rPr>
                    <w:t>机械噪声</w:t>
                  </w:r>
                </w:p>
              </w:tc>
              <w:tc>
                <w:tcPr>
                  <w:tcW w:w="1760" w:type="pct"/>
                  <w:vAlign w:val="center"/>
                </w:tcPr>
                <w:p>
                  <w:pPr>
                    <w:jc w:val="center"/>
                    <w:rPr>
                      <w:sz w:val="21"/>
                      <w:szCs w:val="21"/>
                    </w:rPr>
                  </w:pPr>
                  <w:r>
                    <w:rPr>
                      <w:sz w:val="21"/>
                      <w:szCs w:val="21"/>
                    </w:rPr>
                    <w:t>施工设备运行</w:t>
                  </w:r>
                </w:p>
              </w:tc>
              <w:tc>
                <w:tcPr>
                  <w:tcW w:w="1479" w:type="pct"/>
                  <w:vAlign w:val="center"/>
                </w:tcPr>
                <w:p>
                  <w:pPr>
                    <w:jc w:val="center"/>
                    <w:rPr>
                      <w:sz w:val="21"/>
                      <w:szCs w:val="21"/>
                    </w:rPr>
                  </w:pPr>
                  <w:r>
                    <w:rPr>
                      <w:sz w:val="21"/>
                      <w:szCs w:val="21"/>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restart"/>
                  <w:vAlign w:val="center"/>
                </w:tcPr>
                <w:p>
                  <w:pPr>
                    <w:jc w:val="center"/>
                    <w:rPr>
                      <w:sz w:val="21"/>
                      <w:szCs w:val="21"/>
                    </w:rPr>
                  </w:pPr>
                  <w:r>
                    <w:rPr>
                      <w:sz w:val="21"/>
                      <w:szCs w:val="21"/>
                    </w:rPr>
                    <w:t>固废</w:t>
                  </w:r>
                </w:p>
              </w:tc>
              <w:tc>
                <w:tcPr>
                  <w:tcW w:w="1024" w:type="pct"/>
                  <w:vAlign w:val="center"/>
                </w:tcPr>
                <w:p>
                  <w:pPr>
                    <w:jc w:val="center"/>
                    <w:rPr>
                      <w:sz w:val="21"/>
                      <w:szCs w:val="21"/>
                    </w:rPr>
                  </w:pPr>
                  <w:r>
                    <w:rPr>
                      <w:sz w:val="21"/>
                      <w:szCs w:val="21"/>
                    </w:rPr>
                    <w:t>建筑垃圾</w:t>
                  </w:r>
                </w:p>
              </w:tc>
              <w:tc>
                <w:tcPr>
                  <w:tcW w:w="1760" w:type="pct"/>
                  <w:vAlign w:val="center"/>
                </w:tcPr>
                <w:p>
                  <w:pPr>
                    <w:jc w:val="center"/>
                    <w:rPr>
                      <w:sz w:val="21"/>
                      <w:szCs w:val="21"/>
                    </w:rPr>
                  </w:pPr>
                  <w:r>
                    <w:rPr>
                      <w:sz w:val="21"/>
                      <w:szCs w:val="21"/>
                    </w:rPr>
                    <w:t>地表清理、管沟开挖、焊接作业</w:t>
                  </w:r>
                </w:p>
              </w:tc>
              <w:tc>
                <w:tcPr>
                  <w:tcW w:w="1479" w:type="pct"/>
                  <w:vAlign w:val="center"/>
                </w:tcPr>
                <w:p>
                  <w:pPr>
                    <w:jc w:val="center"/>
                    <w:rPr>
                      <w:sz w:val="21"/>
                      <w:szCs w:val="21"/>
                    </w:rPr>
                  </w:pPr>
                  <w:r>
                    <w:rPr>
                      <w:sz w:val="21"/>
                      <w:szCs w:val="21"/>
                    </w:rPr>
                    <w:t>弃方、</w:t>
                  </w:r>
                  <w:r>
                    <w:rPr>
                      <w:sz w:val="21"/>
                      <w:szCs w:val="21"/>
                      <w:lang w:bidi="ar"/>
                    </w:rPr>
                    <w:t>焊接废料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Merge w:val="continue"/>
                  <w:vAlign w:val="center"/>
                </w:tcPr>
                <w:p>
                  <w:pPr>
                    <w:jc w:val="center"/>
                    <w:rPr>
                      <w:sz w:val="21"/>
                      <w:szCs w:val="21"/>
                    </w:rPr>
                  </w:pPr>
                </w:p>
              </w:tc>
              <w:tc>
                <w:tcPr>
                  <w:tcW w:w="1024" w:type="pct"/>
                  <w:vAlign w:val="center"/>
                </w:tcPr>
                <w:p>
                  <w:pPr>
                    <w:jc w:val="center"/>
                    <w:rPr>
                      <w:sz w:val="21"/>
                      <w:szCs w:val="21"/>
                    </w:rPr>
                  </w:pPr>
                  <w:r>
                    <w:rPr>
                      <w:sz w:val="21"/>
                      <w:szCs w:val="21"/>
                    </w:rPr>
                    <w:t>生活固废</w:t>
                  </w:r>
                </w:p>
              </w:tc>
              <w:tc>
                <w:tcPr>
                  <w:tcW w:w="1760" w:type="pct"/>
                  <w:vAlign w:val="center"/>
                </w:tcPr>
                <w:p>
                  <w:pPr>
                    <w:jc w:val="center"/>
                    <w:rPr>
                      <w:sz w:val="21"/>
                      <w:szCs w:val="21"/>
                    </w:rPr>
                  </w:pPr>
                  <w:r>
                    <w:rPr>
                      <w:sz w:val="21"/>
                      <w:szCs w:val="21"/>
                    </w:rPr>
                    <w:t>施工人员生活</w:t>
                  </w:r>
                </w:p>
              </w:tc>
              <w:tc>
                <w:tcPr>
                  <w:tcW w:w="1479" w:type="pct"/>
                  <w:vAlign w:val="center"/>
                </w:tcPr>
                <w:p>
                  <w:pPr>
                    <w:jc w:val="center"/>
                    <w:rPr>
                      <w:sz w:val="21"/>
                      <w:szCs w:val="21"/>
                    </w:rPr>
                  </w:pPr>
                  <w:r>
                    <w:rPr>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pct"/>
                  <w:vAlign w:val="center"/>
                </w:tcPr>
                <w:p>
                  <w:pPr>
                    <w:jc w:val="center"/>
                    <w:rPr>
                      <w:sz w:val="21"/>
                      <w:szCs w:val="21"/>
                    </w:rPr>
                  </w:pPr>
                  <w:r>
                    <w:rPr>
                      <w:sz w:val="21"/>
                      <w:szCs w:val="21"/>
                    </w:rPr>
                    <w:t>生态</w:t>
                  </w:r>
                </w:p>
              </w:tc>
              <w:tc>
                <w:tcPr>
                  <w:tcW w:w="4264" w:type="pct"/>
                  <w:gridSpan w:val="3"/>
                  <w:vAlign w:val="center"/>
                </w:tcPr>
                <w:p>
                  <w:pPr>
                    <w:jc w:val="center"/>
                    <w:rPr>
                      <w:sz w:val="21"/>
                      <w:szCs w:val="21"/>
                    </w:rPr>
                  </w:pPr>
                  <w:r>
                    <w:rPr>
                      <w:sz w:val="21"/>
                      <w:szCs w:val="21"/>
                    </w:rPr>
                    <w:t>地表剥离、水土流失</w:t>
                  </w:r>
                </w:p>
              </w:tc>
            </w:tr>
          </w:tbl>
          <w:p>
            <w:pPr>
              <w:pStyle w:val="19"/>
              <w:widowControl w:val="0"/>
              <w:spacing w:before="120" w:beforeLines="50" w:beforeAutospacing="0" w:after="0" w:afterAutospacing="0" w:line="360" w:lineRule="auto"/>
              <w:ind w:firstLine="480" w:firstLineChars="200"/>
              <w:jc w:val="both"/>
              <w:rPr>
                <w:rFonts w:ascii="Times New Roman" w:hAnsi="Times New Roman"/>
                <w:szCs w:val="24"/>
              </w:rPr>
            </w:pPr>
            <w:r>
              <w:rPr>
                <w:rFonts w:ascii="Times New Roman" w:hAnsi="Times New Roman"/>
                <w:szCs w:val="24"/>
                <w:lang w:bidi="ar"/>
              </w:rPr>
              <w:t>1）施工扬尘</w:t>
            </w:r>
          </w:p>
          <w:p>
            <w:pPr>
              <w:spacing w:line="360" w:lineRule="auto"/>
              <w:ind w:firstLine="480" w:firstLineChars="200"/>
            </w:pPr>
            <w:r>
              <w:rPr>
                <w:kern w:val="0"/>
                <w:lang w:bidi="ar"/>
              </w:rPr>
              <w:t>本项目为天然气管道建设工程。</w:t>
            </w:r>
            <w:r>
              <w:t>工程建设施工期间，土方挖掘、装卸和运输过程产生扬尘、运输车辆产生的尾气</w:t>
            </w:r>
            <w:r>
              <w:rPr>
                <w:rFonts w:hint="eastAsia"/>
                <w:lang w:eastAsia="zh-CN"/>
              </w:rPr>
              <w:t>，以</w:t>
            </w:r>
            <w:r>
              <w:t>及管道焊接工序的废气会对所在区域的大气环境质量造成一定影响。</w:t>
            </w:r>
          </w:p>
          <w:p>
            <w:pPr>
              <w:spacing w:line="360" w:lineRule="auto"/>
              <w:ind w:firstLine="480" w:firstLineChars="200"/>
            </w:pPr>
            <w:r>
              <w:t>本项目施工期扬尘主要</w:t>
            </w:r>
            <w:r>
              <w:rPr>
                <w:rFonts w:hint="eastAsia"/>
                <w:lang w:eastAsia="zh-CN"/>
              </w:rPr>
              <w:t>来自</w:t>
            </w:r>
            <w:r>
              <w:t>整地过程、管线管沟土方的挖掘、堆放、回填和清运施工现场及道路建设所产生的尘土。施工扬尘的产生及影响程度跟施工季节、施工管理和风力等气候因素有一定关系，如遇干旱大风、扬尘影响则较为严重。根据类比资料，在一般气象条件下，平均风速2.6m/s的施工扬尘污染有如下特点：建筑工地内TSP浓度为上风向对照点的1.5~2.3倍；在建筑工地扬尘点下风向150m处，TSP平均浓度可达0.49mg/Nm</w:t>
            </w:r>
            <w:r>
              <w:rPr>
                <w:vertAlign w:val="superscript"/>
              </w:rPr>
              <w:t>3</w:t>
            </w:r>
            <w:r>
              <w:t>左右，相当大气质量标准1.6倍。据有关研究，车辆行驶产生的扬尘占总扬尘的60%以上。扬尘的产生量及扬尘污染程度与车辆运输方式、路面状况、天气条件等因素关系密切，影响可达150~300m。如果在施工期间对车辆行驶的路面实施洒水抑尘，每天洒水4~5次，可使扬尘量减少70%左右，扬尘造成的TSP污染距离可缩小到20~50m范围。本次工程施工现场，主要是一些运输车辆，若不做好施工现场管理会造成一定程度的施工扬尘。因此在施工过程中应该考虑实施洒水进行抑尘，洒水次数和洒水量视具体情况而定，在大风天气时应禁止施工。</w:t>
            </w:r>
          </w:p>
          <w:p>
            <w:pPr>
              <w:spacing w:line="360" w:lineRule="auto"/>
              <w:ind w:firstLine="480" w:firstLineChars="200"/>
            </w:pPr>
            <w:r>
              <w:t>2）车辆尾气影响</w:t>
            </w:r>
          </w:p>
          <w:p>
            <w:pPr>
              <w:spacing w:line="360" w:lineRule="auto"/>
              <w:ind w:firstLine="480" w:firstLineChars="200"/>
            </w:pPr>
            <w:r>
              <w:t>施工机械废气包括：各种燃油机械的废气排放，运输车辆产生的尾气等。燃油机械和汽车尾气中的污染物主要有CO、NOx及碳氢化合物（HC）等。施工机械所排放的废气在空间上和时间上具有较集中的特点，在局部的范围内污染物的浓度较高。在施工现场，会有如挖掘机、载重卡车等施工机械大量进入。据交通部公路研究所的测算，以载重卡车为例，测得每辆卡车的尾气中含CO：37.23g/km·辆，碳氢化合物（HC）：15.98g/km·辆，NO</w:t>
            </w:r>
            <w:r>
              <w:rPr>
                <w:vertAlign w:val="subscript"/>
              </w:rPr>
              <w:t>X</w:t>
            </w:r>
            <w:r>
              <w:t>：16.83g/km·辆。这些施工机械所排放的废气以无组织面源的形式排放，会对施工区域的大气环境造成不利影响。据有关单位在市政施工现场的测试结果表明：氮氧化物（NOx）的浓度可达150μg/m</w:t>
            </w:r>
            <w:r>
              <w:rPr>
                <w:vertAlign w:val="superscript"/>
              </w:rPr>
              <w:t>3</w:t>
            </w:r>
            <w:r>
              <w:t>，其影响范围在下风向200m以内的范围。但施工结束后，废气影响也随之消失，不会造成长期的影响。</w:t>
            </w:r>
          </w:p>
          <w:p>
            <w:pPr>
              <w:spacing w:line="360" w:lineRule="auto"/>
              <w:ind w:firstLine="480" w:firstLineChars="200"/>
            </w:pPr>
            <w:r>
              <w:t>3）焊接废气</w:t>
            </w:r>
          </w:p>
          <w:p>
            <w:pPr>
              <w:spacing w:line="360" w:lineRule="auto"/>
              <w:ind w:firstLine="480" w:firstLineChars="200"/>
              <w:rPr>
                <w:kern w:val="0"/>
              </w:rPr>
            </w:pPr>
            <w:r>
              <w:t>本项目管道组焊过程会产生微量的热熔废气，主要污染物为碳氢化合物、一氧化碳、氮氧化物、苯并笓等以及二次污染物--光化学烟雾等。其中碳氢化合物、一氧化碳和氮氧化物三种占到总大气污染物的50%以上，主要对作业点周围局部范围产生一定影响。焊接持续时间较短，项目热熔废气产生较少，无组织排放，对当地环境空气质量影响较小。</w:t>
            </w:r>
          </w:p>
          <w:p>
            <w:pPr>
              <w:spacing w:line="360" w:lineRule="auto"/>
              <w:ind w:firstLine="482" w:firstLineChars="200"/>
              <w:rPr>
                <w:b/>
                <w:bCs/>
              </w:rPr>
            </w:pPr>
            <w:r>
              <w:rPr>
                <w:b/>
                <w:bCs/>
                <w:lang w:bidi="ar"/>
              </w:rPr>
              <w:t>（2）水环境影响分析</w:t>
            </w:r>
          </w:p>
          <w:p>
            <w:pPr>
              <w:pStyle w:val="19"/>
              <w:widowControl w:val="0"/>
              <w:autoSpaceDE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本工程施工期项目区不设宿舍、食堂等，工人吃住自行解决。施工期排放的废水主要为运输车辆、作业机械冲洗废水和初期雨水。</w:t>
            </w:r>
          </w:p>
          <w:p>
            <w:pPr>
              <w:spacing w:line="360" w:lineRule="auto"/>
              <w:ind w:firstLine="480" w:firstLineChars="200"/>
            </w:pPr>
            <w:r>
              <w:t>管道铺设完毕后采用清洁水为介质进行试压，本工程的管道试压分段进行，项目管材材质为钢管和聚乙烯塑料管，故管道试压排放废水中主要污染物为悬浮物，其中钢管试压废水含有少量铁屑；本项目管道试压结束后通过会进行通过压缩空气吹管干燥，因此，为了方便计算，试压注水全部排放，根据管道内径、长度、试验压力计算。则试压废水为847.26m</w:t>
            </w:r>
            <w:r>
              <w:rPr>
                <w:vertAlign w:val="superscript"/>
              </w:rPr>
              <w:t>3</w:t>
            </w:r>
            <w:r>
              <w:t>，因所用管道均为新管，废水中SS浓度低于100mg/L。试压废水通过管道接入</w:t>
            </w:r>
            <w:r>
              <w:rPr>
                <w:rFonts w:hint="eastAsia"/>
                <w:lang w:eastAsia="zh-CN"/>
              </w:rPr>
              <w:t>旁边</w:t>
            </w:r>
            <w:r>
              <w:t>的综合保税区污水管网排放。</w:t>
            </w:r>
          </w:p>
          <w:p>
            <w:pPr>
              <w:pStyle w:val="19"/>
              <w:widowControl w:val="0"/>
              <w:autoSpaceDE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施工作业废水主要为运输车辆、作业机械冲洗废水等，一般此类废水中SS含量较高，约800mg/L，悬浮物的主要成分为土粒和水泥颗粒等无机物，基本不含有毒有害物质，经过一段时间后易沉降，经过沉淀处理后用于项目区洒水降尘。这种影响会随着施工期结束而消失，施工废水对区域水环境影响很小。</w:t>
            </w:r>
          </w:p>
          <w:p>
            <w:pPr>
              <w:pStyle w:val="19"/>
              <w:widowControl w:val="0"/>
              <w:autoSpaceDE w:val="0"/>
              <w:spacing w:before="0" w:beforeAutospacing="0" w:after="0" w:afterAutospacing="0" w:line="360" w:lineRule="auto"/>
              <w:ind w:firstLine="480" w:firstLineChars="200"/>
              <w:jc w:val="both"/>
              <w:rPr>
                <w:rFonts w:ascii="Times New Roman" w:hAnsi="Times New Roman"/>
                <w:kern w:val="2"/>
                <w:szCs w:val="24"/>
              </w:rPr>
            </w:pPr>
            <w:r>
              <w:rPr>
                <w:rFonts w:ascii="Times New Roman" w:hAnsi="Times New Roman"/>
                <w:kern w:val="2"/>
                <w:szCs w:val="24"/>
                <w:lang w:bidi="ar"/>
              </w:rPr>
              <w:t>施工期施工人员租用当地现有房屋或回家自行解决食宿，生活污水排放依托现有排水管网处理。</w:t>
            </w:r>
          </w:p>
          <w:p>
            <w:pPr>
              <w:pStyle w:val="19"/>
              <w:widowControl w:val="0"/>
              <w:autoSpaceDE w:val="0"/>
              <w:spacing w:before="0" w:beforeAutospacing="0" w:after="0" w:afterAutospacing="0" w:line="360" w:lineRule="auto"/>
              <w:ind w:firstLine="480" w:firstLineChars="200"/>
              <w:jc w:val="both"/>
              <w:rPr>
                <w:rFonts w:ascii="Times New Roman" w:hAnsi="Times New Roman"/>
                <w:b/>
                <w:bCs/>
                <w:kern w:val="2"/>
                <w:szCs w:val="24"/>
              </w:rPr>
            </w:pPr>
            <w:r>
              <w:rPr>
                <w:rFonts w:ascii="Times New Roman" w:hAnsi="Times New Roman"/>
                <w:kern w:val="2"/>
                <w:szCs w:val="24"/>
                <w:lang w:bidi="ar"/>
              </w:rPr>
              <w:t>施工期下雨时会形成地表径流，冲刷施工工地，产生SS浓度较高的初期雨水。雨水经施工场内临时沟渠引流至沉淀池，处理后回用于施工工序或洒水抑尘，不外排。</w:t>
            </w:r>
          </w:p>
          <w:p>
            <w:pPr>
              <w:spacing w:line="360" w:lineRule="auto"/>
              <w:ind w:firstLine="482" w:firstLineChars="200"/>
              <w:rPr>
                <w:b/>
                <w:bCs/>
              </w:rPr>
            </w:pPr>
            <w:r>
              <w:rPr>
                <w:b/>
                <w:bCs/>
                <w:lang w:bidi="ar"/>
              </w:rPr>
              <w:t>（3）施工期声环境影响分析</w:t>
            </w:r>
          </w:p>
          <w:p>
            <w:pPr>
              <w:topLinePunct/>
              <w:spacing w:line="360" w:lineRule="auto"/>
              <w:ind w:firstLine="480" w:firstLineChars="200"/>
              <w:rPr>
                <w:kern w:val="0"/>
              </w:rPr>
            </w:pPr>
            <w:r>
              <w:rPr>
                <w:kern w:val="0"/>
                <w:lang w:bidi="ar"/>
              </w:rPr>
              <w:t>1）施工厂界噪声控制标准</w:t>
            </w:r>
          </w:p>
          <w:p>
            <w:pPr>
              <w:spacing w:line="360" w:lineRule="auto"/>
              <w:ind w:firstLine="480" w:firstLineChars="200"/>
              <w:rPr>
                <w:kern w:val="0"/>
                <w:sz w:val="21"/>
                <w:szCs w:val="21"/>
              </w:rPr>
            </w:pPr>
            <w:r>
              <w:rPr>
                <w:kern w:val="0"/>
                <w:lang w:bidi="ar"/>
              </w:rPr>
              <w:t>建筑施工噪声对周围声环境影响较大，</w:t>
            </w:r>
            <w:r>
              <w:rPr>
                <w:lang w:bidi="ar"/>
              </w:rPr>
              <w:t>建筑施工工地的噪声适用标准是《建筑施工场界环境噪声排放标准》(GB12523-2011)，施工阶段作业噪声限值见下表。</w:t>
            </w:r>
          </w:p>
          <w:p>
            <w:pPr>
              <w:pStyle w:val="19"/>
              <w:widowControl w:val="0"/>
              <w:spacing w:before="0" w:beforeAutospacing="0" w:after="0" w:afterAutospacing="0"/>
              <w:jc w:val="center"/>
              <w:rPr>
                <w:rFonts w:ascii="Times New Roman" w:hAnsi="Times New Roman"/>
                <w:b/>
                <w:kern w:val="2"/>
                <w:sz w:val="21"/>
                <w:szCs w:val="21"/>
              </w:rPr>
            </w:pPr>
            <w:r>
              <w:rPr>
                <w:rFonts w:ascii="Times New Roman" w:hAnsi="Times New Roman"/>
                <w:b/>
                <w:kern w:val="2"/>
                <w:sz w:val="21"/>
                <w:szCs w:val="21"/>
                <w:lang w:bidi="ar"/>
              </w:rPr>
              <w:t>表4-2  建筑施工场界环境噪声排放标准  等效声级Leq[dB(A)]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54"/>
              <w:gridCol w:w="2582"/>
              <w:gridCol w:w="1851"/>
              <w:gridCol w:w="145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56" w:hRule="atLeast"/>
                <w:jc w:val="center"/>
              </w:trPr>
              <w:tc>
                <w:tcPr>
                  <w:tcW w:w="1196" w:type="pct"/>
                  <w:vMerge w:val="restart"/>
                  <w:tcBorders>
                    <w:tl2br w:val="nil"/>
                    <w:tr2bl w:val="nil"/>
                  </w:tcBorders>
                  <w:shd w:val="clear" w:color="auto" w:fill="auto"/>
                  <w:vAlign w:val="center"/>
                </w:tcPr>
                <w:p>
                  <w:pPr>
                    <w:pStyle w:val="19"/>
                    <w:widowControl w:val="0"/>
                    <w:spacing w:before="0" w:beforeAutospacing="0" w:after="0" w:afterAutospacing="0"/>
                    <w:ind w:left="86" w:leftChars="36" w:right="118" w:rightChars="49" w:firstLine="105" w:firstLineChars="50"/>
                    <w:jc w:val="center"/>
                    <w:rPr>
                      <w:rFonts w:ascii="Times New Roman" w:hAnsi="Times New Roman"/>
                      <w:kern w:val="2"/>
                      <w:sz w:val="21"/>
                      <w:szCs w:val="21"/>
                    </w:rPr>
                  </w:pPr>
                  <w:r>
                    <w:rPr>
                      <w:rFonts w:ascii="Times New Roman" w:hAnsi="Times New Roman"/>
                      <w:kern w:val="2"/>
                      <w:sz w:val="21"/>
                      <w:szCs w:val="21"/>
                      <w:lang w:bidi="ar"/>
                    </w:rPr>
                    <w:t>施工阶段</w:t>
                  </w:r>
                </w:p>
              </w:tc>
              <w:tc>
                <w:tcPr>
                  <w:tcW w:w="1665" w:type="pct"/>
                  <w:vMerge w:val="restart"/>
                  <w:tcBorders>
                    <w:tl2br w:val="nil"/>
                    <w:tr2bl w:val="nil"/>
                  </w:tcBorders>
                  <w:shd w:val="clear" w:color="auto" w:fill="auto"/>
                  <w:vAlign w:val="center"/>
                </w:tcPr>
                <w:p>
                  <w:pPr>
                    <w:pStyle w:val="19"/>
                    <w:widowControl w:val="0"/>
                    <w:spacing w:before="0" w:beforeAutospacing="0" w:after="0" w:afterAutospacing="0"/>
                    <w:ind w:left="86" w:leftChars="36" w:right="118" w:rightChars="49" w:firstLine="420"/>
                    <w:jc w:val="center"/>
                    <w:rPr>
                      <w:rFonts w:ascii="Times New Roman" w:hAnsi="Times New Roman"/>
                      <w:kern w:val="2"/>
                      <w:sz w:val="21"/>
                      <w:szCs w:val="21"/>
                    </w:rPr>
                  </w:pPr>
                  <w:r>
                    <w:rPr>
                      <w:rFonts w:ascii="Times New Roman" w:hAnsi="Times New Roman"/>
                      <w:kern w:val="2"/>
                      <w:sz w:val="21"/>
                      <w:szCs w:val="21"/>
                      <w:lang w:bidi="ar"/>
                    </w:rPr>
                    <w:t>主要噪声源</w:t>
                  </w:r>
                </w:p>
              </w:tc>
              <w:tc>
                <w:tcPr>
                  <w:tcW w:w="2137" w:type="pct"/>
                  <w:gridSpan w:val="2"/>
                  <w:tcBorders>
                    <w:tl2br w:val="nil"/>
                    <w:tr2bl w:val="nil"/>
                  </w:tcBorders>
                  <w:shd w:val="clear" w:color="auto" w:fill="auto"/>
                  <w:vAlign w:val="center"/>
                </w:tcPr>
                <w:p>
                  <w:pPr>
                    <w:pStyle w:val="19"/>
                    <w:widowControl w:val="0"/>
                    <w:spacing w:before="0" w:beforeAutospacing="0" w:after="0" w:afterAutospacing="0"/>
                    <w:ind w:left="86" w:leftChars="36" w:right="118" w:rightChars="49" w:firstLine="420"/>
                    <w:jc w:val="center"/>
                    <w:rPr>
                      <w:rFonts w:ascii="Times New Roman" w:hAnsi="Times New Roman"/>
                      <w:kern w:val="2"/>
                      <w:sz w:val="21"/>
                      <w:szCs w:val="21"/>
                    </w:rPr>
                  </w:pPr>
                  <w:r>
                    <w:rPr>
                      <w:rFonts w:ascii="Times New Roman" w:hAnsi="Times New Roman"/>
                      <w:kern w:val="2"/>
                      <w:sz w:val="21"/>
                      <w:szCs w:val="21"/>
                      <w:lang w:bidi="ar"/>
                    </w:rPr>
                    <w:t>噪声限值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346" w:hRule="atLeast"/>
                <w:jc w:val="center"/>
              </w:trPr>
              <w:tc>
                <w:tcPr>
                  <w:tcW w:w="1196" w:type="pct"/>
                  <w:vMerge w:val="continue"/>
                  <w:tcBorders>
                    <w:tl2br w:val="nil"/>
                    <w:tr2bl w:val="nil"/>
                  </w:tcBorders>
                  <w:shd w:val="clear" w:color="auto" w:fill="auto"/>
                  <w:vAlign w:val="center"/>
                </w:tcPr>
                <w:p>
                  <w:pPr>
                    <w:rPr>
                      <w:sz w:val="20"/>
                      <w:szCs w:val="20"/>
                    </w:rPr>
                  </w:pPr>
                </w:p>
              </w:tc>
              <w:tc>
                <w:tcPr>
                  <w:tcW w:w="1665" w:type="pct"/>
                  <w:vMerge w:val="continue"/>
                  <w:tcBorders>
                    <w:tl2br w:val="nil"/>
                    <w:tr2bl w:val="nil"/>
                  </w:tcBorders>
                  <w:shd w:val="clear" w:color="auto" w:fill="auto"/>
                  <w:vAlign w:val="center"/>
                </w:tcPr>
                <w:p>
                  <w:pPr>
                    <w:rPr>
                      <w:sz w:val="20"/>
                      <w:szCs w:val="20"/>
                    </w:rPr>
                  </w:pPr>
                </w:p>
              </w:tc>
              <w:tc>
                <w:tcPr>
                  <w:tcW w:w="1195" w:type="pct"/>
                  <w:tcBorders>
                    <w:tl2br w:val="nil"/>
                    <w:tr2bl w:val="nil"/>
                  </w:tcBorders>
                  <w:shd w:val="clear" w:color="auto" w:fill="auto"/>
                  <w:vAlign w:val="center"/>
                </w:tcPr>
                <w:p>
                  <w:pPr>
                    <w:pStyle w:val="19"/>
                    <w:widowControl w:val="0"/>
                    <w:spacing w:before="0" w:beforeAutospacing="0" w:after="0" w:afterAutospacing="0"/>
                    <w:ind w:left="86" w:leftChars="36" w:right="118" w:rightChars="49" w:firstLine="525" w:firstLineChars="250"/>
                    <w:jc w:val="both"/>
                    <w:rPr>
                      <w:rFonts w:ascii="Times New Roman" w:hAnsi="Times New Roman"/>
                      <w:kern w:val="2"/>
                      <w:sz w:val="21"/>
                      <w:szCs w:val="21"/>
                    </w:rPr>
                  </w:pPr>
                  <w:r>
                    <w:rPr>
                      <w:rFonts w:ascii="Times New Roman" w:hAnsi="Times New Roman"/>
                      <w:kern w:val="2"/>
                      <w:sz w:val="21"/>
                      <w:szCs w:val="21"/>
                      <w:lang w:bidi="ar"/>
                    </w:rPr>
                    <w:t>昼间</w:t>
                  </w:r>
                </w:p>
              </w:tc>
              <w:tc>
                <w:tcPr>
                  <w:tcW w:w="942" w:type="pct"/>
                  <w:tcBorders>
                    <w:tl2br w:val="nil"/>
                    <w:tr2bl w:val="nil"/>
                  </w:tcBorders>
                  <w:shd w:val="clear" w:color="auto" w:fill="auto"/>
                  <w:vAlign w:val="center"/>
                </w:tcPr>
                <w:p>
                  <w:pPr>
                    <w:pStyle w:val="19"/>
                    <w:widowControl w:val="0"/>
                    <w:spacing w:before="0" w:beforeAutospacing="0" w:after="0" w:afterAutospacing="0"/>
                    <w:ind w:right="118" w:rightChars="49" w:firstLine="315" w:firstLineChars="150"/>
                    <w:jc w:val="both"/>
                    <w:rPr>
                      <w:rFonts w:ascii="Times New Roman" w:hAnsi="Times New Roman"/>
                      <w:kern w:val="2"/>
                      <w:sz w:val="21"/>
                      <w:szCs w:val="21"/>
                    </w:rPr>
                  </w:pPr>
                  <w:r>
                    <w:rPr>
                      <w:rFonts w:ascii="Times New Roman" w:hAnsi="Times New Roman"/>
                      <w:kern w:val="2"/>
                      <w:sz w:val="21"/>
                      <w:szCs w:val="21"/>
                      <w:lang w:bidi="ar"/>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1" w:hRule="atLeast"/>
                <w:jc w:val="center"/>
              </w:trPr>
              <w:tc>
                <w:tcPr>
                  <w:tcW w:w="1196" w:type="pct"/>
                  <w:vMerge w:val="continue"/>
                  <w:tcBorders>
                    <w:tl2br w:val="nil"/>
                    <w:tr2bl w:val="nil"/>
                  </w:tcBorders>
                  <w:shd w:val="clear" w:color="auto" w:fill="auto"/>
                  <w:vAlign w:val="center"/>
                </w:tcPr>
                <w:p>
                  <w:pPr>
                    <w:rPr>
                      <w:sz w:val="20"/>
                      <w:szCs w:val="20"/>
                    </w:rPr>
                  </w:pPr>
                </w:p>
              </w:tc>
              <w:tc>
                <w:tcPr>
                  <w:tcW w:w="1665" w:type="pct"/>
                  <w:vMerge w:val="continue"/>
                  <w:tcBorders>
                    <w:tl2br w:val="nil"/>
                    <w:tr2bl w:val="nil"/>
                  </w:tcBorders>
                  <w:shd w:val="clear" w:color="auto" w:fill="auto"/>
                  <w:vAlign w:val="center"/>
                </w:tcPr>
                <w:p>
                  <w:pPr>
                    <w:rPr>
                      <w:sz w:val="20"/>
                      <w:szCs w:val="20"/>
                    </w:rPr>
                  </w:pPr>
                </w:p>
              </w:tc>
              <w:tc>
                <w:tcPr>
                  <w:tcW w:w="1195" w:type="pct"/>
                  <w:tcBorders>
                    <w:tl2br w:val="nil"/>
                    <w:tr2bl w:val="nil"/>
                  </w:tcBorders>
                  <w:shd w:val="clear" w:color="auto" w:fill="auto"/>
                  <w:vAlign w:val="center"/>
                </w:tcPr>
                <w:p>
                  <w:pPr>
                    <w:pStyle w:val="19"/>
                    <w:widowControl w:val="0"/>
                    <w:spacing w:before="0" w:beforeAutospacing="0" w:after="0" w:afterAutospacing="0"/>
                    <w:ind w:left="86" w:leftChars="36" w:right="118" w:rightChars="49" w:firstLine="630" w:firstLineChars="300"/>
                    <w:jc w:val="both"/>
                    <w:rPr>
                      <w:rFonts w:ascii="Times New Roman" w:hAnsi="Times New Roman"/>
                      <w:kern w:val="2"/>
                      <w:sz w:val="21"/>
                      <w:szCs w:val="21"/>
                    </w:rPr>
                  </w:pPr>
                  <w:r>
                    <w:rPr>
                      <w:rFonts w:ascii="Times New Roman" w:hAnsi="Times New Roman"/>
                      <w:kern w:val="2"/>
                      <w:sz w:val="21"/>
                      <w:szCs w:val="21"/>
                      <w:lang w:bidi="ar"/>
                    </w:rPr>
                    <w:t>70</w:t>
                  </w:r>
                </w:p>
              </w:tc>
              <w:tc>
                <w:tcPr>
                  <w:tcW w:w="942" w:type="pct"/>
                  <w:tcBorders>
                    <w:tl2br w:val="nil"/>
                    <w:tr2bl w:val="nil"/>
                  </w:tcBorders>
                  <w:shd w:val="clear" w:color="auto" w:fill="auto"/>
                  <w:vAlign w:val="center"/>
                </w:tcPr>
                <w:p>
                  <w:pPr>
                    <w:pStyle w:val="19"/>
                    <w:widowControl w:val="0"/>
                    <w:spacing w:before="0" w:beforeAutospacing="0" w:after="0" w:afterAutospacing="0"/>
                    <w:ind w:right="118" w:rightChars="49" w:firstLine="420" w:firstLineChars="200"/>
                    <w:jc w:val="both"/>
                    <w:rPr>
                      <w:rFonts w:ascii="Times New Roman" w:hAnsi="Times New Roman"/>
                      <w:kern w:val="2"/>
                      <w:sz w:val="21"/>
                      <w:szCs w:val="21"/>
                    </w:rPr>
                  </w:pPr>
                  <w:r>
                    <w:rPr>
                      <w:rFonts w:ascii="Times New Roman" w:hAnsi="Times New Roman"/>
                      <w:kern w:val="2"/>
                      <w:sz w:val="21"/>
                      <w:szCs w:val="21"/>
                      <w:lang w:bidi="ar"/>
                    </w:rPr>
                    <w:t>55</w:t>
                  </w:r>
                </w:p>
              </w:tc>
            </w:tr>
          </w:tbl>
          <w:p>
            <w:pPr>
              <w:topLinePunct/>
              <w:rPr>
                <w:kern w:val="0"/>
                <w:sz w:val="18"/>
                <w:szCs w:val="18"/>
              </w:rPr>
            </w:pPr>
            <w:r>
              <w:rPr>
                <w:kern w:val="0"/>
                <w:sz w:val="18"/>
                <w:szCs w:val="18"/>
                <w:lang w:bidi="ar"/>
              </w:rPr>
              <w:t>注：①夜间噪声最大声级超过限值的幅度不得高于15dB(A)；</w:t>
            </w:r>
          </w:p>
          <w:p>
            <w:pPr>
              <w:topLinePunct/>
              <w:ind w:firstLine="360" w:firstLineChars="200"/>
              <w:rPr>
                <w:kern w:val="0"/>
                <w:sz w:val="18"/>
                <w:szCs w:val="18"/>
              </w:rPr>
            </w:pPr>
            <w:r>
              <w:rPr>
                <w:kern w:val="0"/>
                <w:sz w:val="18"/>
                <w:szCs w:val="18"/>
                <w:lang w:bidi="ar"/>
              </w:rPr>
              <w:t>②当</w:t>
            </w:r>
            <w:r>
              <w:rPr>
                <w:rFonts w:hint="eastAsia"/>
                <w:kern w:val="0"/>
                <w:sz w:val="18"/>
                <w:szCs w:val="18"/>
                <w:lang w:eastAsia="zh-CN" w:bidi="ar"/>
              </w:rPr>
              <w:t>厂界</w:t>
            </w:r>
            <w:r>
              <w:rPr>
                <w:kern w:val="0"/>
                <w:sz w:val="18"/>
                <w:szCs w:val="18"/>
                <w:lang w:bidi="ar"/>
              </w:rPr>
              <w:t>距噪声敏感建筑物较近，其室外不满足测量条件时，可在噪声敏感建筑物室内测量，将相应的限值减10dB(A)作为评价依据。</w:t>
            </w:r>
          </w:p>
          <w:p>
            <w:pPr>
              <w:topLinePunct/>
              <w:autoSpaceDE w:val="0"/>
              <w:spacing w:before="120" w:beforeLines="50" w:line="360" w:lineRule="auto"/>
              <w:ind w:firstLine="480" w:firstLineChars="200"/>
              <w:rPr>
                <w:kern w:val="0"/>
              </w:rPr>
            </w:pPr>
            <w:r>
              <w:rPr>
                <w:kern w:val="0"/>
                <w:lang w:bidi="ar"/>
              </w:rPr>
              <w:t>2）施工期主要噪声源及分析</w:t>
            </w:r>
          </w:p>
          <w:p>
            <w:pPr>
              <w:spacing w:line="360" w:lineRule="auto"/>
              <w:ind w:firstLine="480" w:firstLineChars="200"/>
            </w:pPr>
            <w:r>
              <w:rPr>
                <w:kern w:val="0"/>
                <w:lang w:bidi="ar"/>
              </w:rPr>
              <w:t>本工程施工过程</w:t>
            </w:r>
            <w:r>
              <w:rPr>
                <w:lang w:bidi="ar"/>
              </w:rPr>
              <w:t>主要噪声源为：土方开挖和平整阶段采用推土机、装载机、挖掘机等机械车辆噪声；混凝土浇筑时的罐车、打夯机等机械车辆噪声；各个阶段均有运输车辆产生的交通噪声；另外还有突发性、冲击性、不连续性的敲打撞击噪声。</w:t>
            </w:r>
          </w:p>
          <w:p>
            <w:pPr>
              <w:pStyle w:val="53"/>
              <w:spacing w:line="360" w:lineRule="auto"/>
              <w:ind w:firstLine="480"/>
            </w:pPr>
            <w:r>
              <w:t>根据《环境影响评价技术导则 声环境》（HJ 2.4-2021）</w:t>
            </w:r>
            <w:r>
              <w:rPr>
                <w:spacing w:val="4"/>
              </w:rPr>
              <w:t>中的工业噪声预测模式。</w:t>
            </w:r>
            <w:r>
              <w:t>本次预测模式不考虑雨、雪、雾和温度梯度等因素，以保证未来实际噪声环境较预测结果优越。</w:t>
            </w:r>
          </w:p>
          <w:p>
            <w:pPr>
              <w:pStyle w:val="53"/>
              <w:spacing w:line="360" w:lineRule="auto"/>
              <w:ind w:firstLine="480"/>
            </w:pPr>
            <w:r>
              <w:t>计算室外靠近围护结构处的声压级：</w:t>
            </w:r>
          </w:p>
          <w:p>
            <w:pPr>
              <w:pStyle w:val="53"/>
              <w:spacing w:line="360" w:lineRule="auto"/>
              <w:ind w:firstLine="0" w:firstLineChars="0"/>
              <w:jc w:val="center"/>
              <w:rPr>
                <w:i/>
              </w:rPr>
            </w:pPr>
            <w:r>
              <w:drawing>
                <wp:inline distT="0" distB="0" distL="114300" distR="114300">
                  <wp:extent cx="1914525" cy="238125"/>
                  <wp:effectExtent l="0" t="0" r="13335" b="1016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5"/>
                          <a:stretch>
                            <a:fillRect/>
                          </a:stretch>
                        </pic:blipFill>
                        <pic:spPr>
                          <a:xfrm>
                            <a:off x="0" y="0"/>
                            <a:ext cx="1914525" cy="238125"/>
                          </a:xfrm>
                          <a:prstGeom prst="rect">
                            <a:avLst/>
                          </a:prstGeom>
                          <a:noFill/>
                          <a:ln>
                            <a:noFill/>
                          </a:ln>
                        </pic:spPr>
                      </pic:pic>
                    </a:graphicData>
                  </a:graphic>
                </wp:inline>
              </w:drawing>
            </w:r>
          </w:p>
          <w:p>
            <w:pPr>
              <w:pStyle w:val="53"/>
              <w:spacing w:line="360" w:lineRule="auto"/>
              <w:ind w:firstLine="480"/>
            </w:pPr>
            <w:r>
              <w:t>将室外声级</w:t>
            </w:r>
            <w:r>
              <w:drawing>
                <wp:inline distT="0" distB="0" distL="114300" distR="114300">
                  <wp:extent cx="533400" cy="238125"/>
                  <wp:effectExtent l="0" t="0" r="6985" b="1016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6"/>
                          <a:stretch>
                            <a:fillRect/>
                          </a:stretch>
                        </pic:blipFill>
                        <pic:spPr>
                          <a:xfrm>
                            <a:off x="0" y="0"/>
                            <a:ext cx="533400" cy="238125"/>
                          </a:xfrm>
                          <a:prstGeom prst="rect">
                            <a:avLst/>
                          </a:prstGeom>
                          <a:noFill/>
                          <a:ln>
                            <a:noFill/>
                          </a:ln>
                        </pic:spPr>
                      </pic:pic>
                    </a:graphicData>
                  </a:graphic>
                </wp:inline>
              </w:drawing>
            </w:r>
            <w:r>
              <w:t>和透声面积换算成等效的室外声源，计算等效声源第i个倍频带的声功率级</w:t>
            </w:r>
            <w:r>
              <w:drawing>
                <wp:inline distT="0" distB="0" distL="114300" distR="114300">
                  <wp:extent cx="314325" cy="228600"/>
                  <wp:effectExtent l="0" t="0" r="762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27"/>
                          <a:stretch>
                            <a:fillRect/>
                          </a:stretch>
                        </pic:blipFill>
                        <pic:spPr>
                          <a:xfrm>
                            <a:off x="0" y="0"/>
                            <a:ext cx="314325" cy="228600"/>
                          </a:xfrm>
                          <a:prstGeom prst="rect">
                            <a:avLst/>
                          </a:prstGeom>
                          <a:noFill/>
                          <a:ln>
                            <a:noFill/>
                          </a:ln>
                        </pic:spPr>
                      </pic:pic>
                    </a:graphicData>
                  </a:graphic>
                </wp:inline>
              </w:drawing>
            </w:r>
            <w:r>
              <w:t>：</w:t>
            </w:r>
          </w:p>
          <w:p>
            <w:pPr>
              <w:pStyle w:val="53"/>
              <w:spacing w:line="360" w:lineRule="auto"/>
              <w:ind w:firstLine="0" w:firstLineChars="0"/>
              <w:jc w:val="center"/>
            </w:pPr>
            <w:r>
              <w:drawing>
                <wp:inline distT="0" distB="0" distL="114300" distR="114300">
                  <wp:extent cx="1515110" cy="238125"/>
                  <wp:effectExtent l="0" t="0" r="0" b="10160"/>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28"/>
                          <a:stretch>
                            <a:fillRect/>
                          </a:stretch>
                        </pic:blipFill>
                        <pic:spPr>
                          <a:xfrm>
                            <a:off x="0" y="0"/>
                            <a:ext cx="1515110" cy="238125"/>
                          </a:xfrm>
                          <a:prstGeom prst="rect">
                            <a:avLst/>
                          </a:prstGeom>
                          <a:noFill/>
                          <a:ln>
                            <a:noFill/>
                          </a:ln>
                        </pic:spPr>
                      </pic:pic>
                    </a:graphicData>
                  </a:graphic>
                </wp:inline>
              </w:drawing>
            </w:r>
          </w:p>
          <w:p>
            <w:pPr>
              <w:pStyle w:val="53"/>
              <w:spacing w:line="360" w:lineRule="auto"/>
              <w:ind w:firstLine="480"/>
            </w:pPr>
            <w:r>
              <w:t>式中：</w:t>
            </w:r>
          </w:p>
          <w:p>
            <w:pPr>
              <w:pStyle w:val="53"/>
              <w:spacing w:line="360" w:lineRule="auto"/>
              <w:ind w:firstLine="480"/>
            </w:pPr>
            <w:r>
              <w:t xml:space="preserve">      S—透声面积，m</w:t>
            </w:r>
            <w:r>
              <w:rPr>
                <w:vertAlign w:val="superscript"/>
              </w:rPr>
              <w:t>2</w:t>
            </w:r>
          </w:p>
          <w:p>
            <w:pPr>
              <w:pStyle w:val="53"/>
              <w:spacing w:line="360" w:lineRule="auto"/>
              <w:ind w:firstLine="480"/>
            </w:pPr>
            <w:r>
              <w:t>等效室外声源的位置为围护结构的位置，其倍频带声功率级为</w:t>
            </w:r>
            <w:r>
              <w:drawing>
                <wp:inline distT="0" distB="0" distL="114300" distR="114300">
                  <wp:extent cx="314325" cy="228600"/>
                  <wp:effectExtent l="0" t="0" r="7620" b="0"/>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27"/>
                          <a:stretch>
                            <a:fillRect/>
                          </a:stretch>
                        </pic:blipFill>
                        <pic:spPr>
                          <a:xfrm>
                            <a:off x="0" y="0"/>
                            <a:ext cx="314325" cy="228600"/>
                          </a:xfrm>
                          <a:prstGeom prst="rect">
                            <a:avLst/>
                          </a:prstGeom>
                          <a:noFill/>
                          <a:ln>
                            <a:noFill/>
                          </a:ln>
                        </pic:spPr>
                      </pic:pic>
                    </a:graphicData>
                  </a:graphic>
                </wp:inline>
              </w:drawing>
            </w:r>
            <w:r>
              <w:t>，由此按室外声源方法计算等效室外声源在预测点产生的声级。</w:t>
            </w:r>
          </w:p>
          <w:p>
            <w:pPr>
              <w:pStyle w:val="53"/>
              <w:spacing w:line="360" w:lineRule="auto"/>
              <w:ind w:firstLine="480"/>
            </w:pPr>
            <w:r>
              <w:t>计算某个室外声源在预测点产生的倍频带声压级：</w:t>
            </w:r>
          </w:p>
          <w:p>
            <w:pPr>
              <w:pStyle w:val="53"/>
              <w:spacing w:line="360" w:lineRule="auto"/>
              <w:ind w:firstLine="0" w:firstLineChars="0"/>
              <w:jc w:val="center"/>
            </w:pPr>
            <w:r>
              <w:drawing>
                <wp:inline distT="0" distB="0" distL="114300" distR="114300">
                  <wp:extent cx="2287270" cy="409575"/>
                  <wp:effectExtent l="0" t="0" r="5715" b="13970"/>
                  <wp:docPr id="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8"/>
                          <pic:cNvPicPr>
                            <a:picLocks noChangeAspect="1"/>
                          </pic:cNvPicPr>
                        </pic:nvPicPr>
                        <pic:blipFill>
                          <a:blip r:embed="rId29"/>
                          <a:stretch>
                            <a:fillRect/>
                          </a:stretch>
                        </pic:blipFill>
                        <pic:spPr>
                          <a:xfrm>
                            <a:off x="0" y="0"/>
                            <a:ext cx="2287270" cy="409575"/>
                          </a:xfrm>
                          <a:prstGeom prst="rect">
                            <a:avLst/>
                          </a:prstGeom>
                          <a:noFill/>
                          <a:ln>
                            <a:noFill/>
                          </a:ln>
                        </pic:spPr>
                      </pic:pic>
                    </a:graphicData>
                  </a:graphic>
                </wp:inline>
              </w:drawing>
            </w:r>
          </w:p>
          <w:p>
            <w:pPr>
              <w:widowControl/>
              <w:spacing w:line="360" w:lineRule="auto"/>
              <w:ind w:firstLine="480"/>
              <w:rPr>
                <w:kern w:val="0"/>
              </w:rPr>
            </w:pPr>
            <w:r>
              <w:rPr>
                <w:kern w:val="0"/>
              </w:rPr>
              <w:t>式中：</w:t>
            </w:r>
            <w:r>
              <w:rPr>
                <w:kern w:val="0"/>
              </w:rPr>
              <w:drawing>
                <wp:inline distT="0" distB="0" distL="114300" distR="114300">
                  <wp:extent cx="428625" cy="228600"/>
                  <wp:effectExtent l="0" t="0" r="9525" b="5080"/>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30"/>
                          <a:stretch>
                            <a:fillRect/>
                          </a:stretch>
                        </pic:blipFill>
                        <pic:spPr>
                          <a:xfrm>
                            <a:off x="0" y="0"/>
                            <a:ext cx="428625" cy="228600"/>
                          </a:xfrm>
                          <a:prstGeom prst="rect">
                            <a:avLst/>
                          </a:prstGeom>
                          <a:noFill/>
                          <a:ln>
                            <a:noFill/>
                          </a:ln>
                        </pic:spPr>
                      </pic:pic>
                    </a:graphicData>
                  </a:graphic>
                </wp:inline>
              </w:drawing>
            </w:r>
            <w:r>
              <w:rPr>
                <w:kern w:val="0"/>
              </w:rPr>
              <w:t>—点声源在预测点产生的倍频带声压级，dB；</w:t>
            </w:r>
          </w:p>
          <w:p>
            <w:pPr>
              <w:widowControl/>
              <w:spacing w:line="360" w:lineRule="auto"/>
              <w:ind w:firstLine="1200" w:firstLineChars="500"/>
              <w:rPr>
                <w:kern w:val="0"/>
              </w:rPr>
            </w:pPr>
            <w:r>
              <w:rPr>
                <w:kern w:val="0"/>
              </w:rPr>
              <w:drawing>
                <wp:inline distT="0" distB="0" distL="114300" distR="114300">
                  <wp:extent cx="485775" cy="228600"/>
                  <wp:effectExtent l="0" t="0" r="0" b="5080"/>
                  <wp:docPr id="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
                          <pic:cNvPicPr>
                            <a:picLocks noChangeAspect="1"/>
                          </pic:cNvPicPr>
                        </pic:nvPicPr>
                        <pic:blipFill>
                          <a:blip r:embed="rId31"/>
                          <a:stretch>
                            <a:fillRect/>
                          </a:stretch>
                        </pic:blipFill>
                        <pic:spPr>
                          <a:xfrm>
                            <a:off x="0" y="0"/>
                            <a:ext cx="485775" cy="228600"/>
                          </a:xfrm>
                          <a:prstGeom prst="rect">
                            <a:avLst/>
                          </a:prstGeom>
                          <a:noFill/>
                          <a:ln>
                            <a:noFill/>
                          </a:ln>
                        </pic:spPr>
                      </pic:pic>
                    </a:graphicData>
                  </a:graphic>
                </wp:inline>
              </w:drawing>
            </w:r>
            <w:r>
              <w:rPr>
                <w:kern w:val="0"/>
              </w:rPr>
              <w:t>—参考位置</w:t>
            </w:r>
            <w:r>
              <w:rPr>
                <w:kern w:val="0"/>
              </w:rPr>
              <w:drawing>
                <wp:inline distT="0" distB="0" distL="114300" distR="114300">
                  <wp:extent cx="142875" cy="228600"/>
                  <wp:effectExtent l="0" t="0" r="0"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32"/>
                          <a:stretch>
                            <a:fillRect/>
                          </a:stretch>
                        </pic:blipFill>
                        <pic:spPr>
                          <a:xfrm>
                            <a:off x="0" y="0"/>
                            <a:ext cx="142875" cy="228600"/>
                          </a:xfrm>
                          <a:prstGeom prst="rect">
                            <a:avLst/>
                          </a:prstGeom>
                          <a:noFill/>
                          <a:ln>
                            <a:noFill/>
                          </a:ln>
                        </pic:spPr>
                      </pic:pic>
                    </a:graphicData>
                  </a:graphic>
                </wp:inline>
              </w:drawing>
            </w:r>
            <w:r>
              <w:rPr>
                <w:kern w:val="0"/>
              </w:rPr>
              <w:t>处的倍频带声压级，dB；</w:t>
            </w:r>
          </w:p>
          <w:p>
            <w:pPr>
              <w:widowControl/>
              <w:spacing w:line="360" w:lineRule="auto"/>
              <w:ind w:firstLine="1200" w:firstLineChars="500"/>
              <w:rPr>
                <w:kern w:val="0"/>
              </w:rPr>
            </w:pPr>
            <w:r>
              <w:rPr>
                <w:kern w:val="0"/>
              </w:rPr>
              <w:drawing>
                <wp:inline distT="0" distB="0" distL="114300" distR="114300">
                  <wp:extent cx="114300" cy="123825"/>
                  <wp:effectExtent l="0" t="0" r="2540" b="8255"/>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2"/>
                          <pic:cNvPicPr>
                            <a:picLocks noChangeAspect="1"/>
                          </pic:cNvPicPr>
                        </pic:nvPicPr>
                        <pic:blipFill>
                          <a:blip r:embed="rId33"/>
                          <a:stretch>
                            <a:fillRect/>
                          </a:stretch>
                        </pic:blipFill>
                        <pic:spPr>
                          <a:xfrm>
                            <a:off x="0" y="0"/>
                            <a:ext cx="114300" cy="123825"/>
                          </a:xfrm>
                          <a:prstGeom prst="rect">
                            <a:avLst/>
                          </a:prstGeom>
                          <a:noFill/>
                          <a:ln>
                            <a:noFill/>
                          </a:ln>
                        </pic:spPr>
                      </pic:pic>
                    </a:graphicData>
                  </a:graphic>
                </wp:inline>
              </w:drawing>
            </w:r>
            <w:r>
              <w:rPr>
                <w:kern w:val="0"/>
              </w:rPr>
              <w:t>—预测点距声源的距离，m；</w:t>
            </w:r>
          </w:p>
          <w:p>
            <w:pPr>
              <w:widowControl/>
              <w:spacing w:line="360" w:lineRule="auto"/>
              <w:ind w:firstLine="1200" w:firstLineChars="500"/>
              <w:rPr>
                <w:kern w:val="0"/>
              </w:rPr>
            </w:pPr>
            <w:r>
              <w:rPr>
                <w:kern w:val="0"/>
              </w:rPr>
              <w:drawing>
                <wp:inline distT="0" distB="0" distL="114300" distR="114300">
                  <wp:extent cx="142875" cy="228600"/>
                  <wp:effectExtent l="0" t="0" r="0" b="0"/>
                  <wp:docPr id="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3"/>
                          <pic:cNvPicPr>
                            <a:picLocks noChangeAspect="1"/>
                          </pic:cNvPicPr>
                        </pic:nvPicPr>
                        <pic:blipFill>
                          <a:blip r:embed="rId34"/>
                          <a:stretch>
                            <a:fillRect/>
                          </a:stretch>
                        </pic:blipFill>
                        <pic:spPr>
                          <a:xfrm>
                            <a:off x="0" y="0"/>
                            <a:ext cx="142875" cy="228600"/>
                          </a:xfrm>
                          <a:prstGeom prst="rect">
                            <a:avLst/>
                          </a:prstGeom>
                          <a:noFill/>
                          <a:ln>
                            <a:noFill/>
                          </a:ln>
                        </pic:spPr>
                      </pic:pic>
                    </a:graphicData>
                  </a:graphic>
                </wp:inline>
              </w:drawing>
            </w:r>
            <w:r>
              <w:rPr>
                <w:kern w:val="0"/>
              </w:rPr>
              <w:t>—参考位置距声源的距离，m；</w:t>
            </w:r>
          </w:p>
          <w:p>
            <w:pPr>
              <w:widowControl/>
              <w:spacing w:line="360" w:lineRule="auto"/>
              <w:ind w:firstLine="1200" w:firstLineChars="500"/>
              <w:rPr>
                <w:kern w:val="0"/>
              </w:rPr>
            </w:pPr>
            <w:r>
              <w:rPr>
                <w:kern w:val="0"/>
              </w:rPr>
              <w:drawing>
                <wp:inline distT="0" distB="0" distL="114300" distR="114300">
                  <wp:extent cx="342900" cy="228600"/>
                  <wp:effectExtent l="0" t="0" r="7620" b="0"/>
                  <wp:docPr id="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4"/>
                          <pic:cNvPicPr>
                            <a:picLocks noChangeAspect="1"/>
                          </pic:cNvPicPr>
                        </pic:nvPicPr>
                        <pic:blipFill>
                          <a:blip r:embed="rId35"/>
                          <a:stretch>
                            <a:fillRect/>
                          </a:stretch>
                        </pic:blipFill>
                        <pic:spPr>
                          <a:xfrm>
                            <a:off x="0" y="0"/>
                            <a:ext cx="342900" cy="228600"/>
                          </a:xfrm>
                          <a:prstGeom prst="rect">
                            <a:avLst/>
                          </a:prstGeom>
                          <a:noFill/>
                          <a:ln>
                            <a:noFill/>
                          </a:ln>
                        </pic:spPr>
                      </pic:pic>
                    </a:graphicData>
                  </a:graphic>
                </wp:inline>
              </w:drawing>
            </w:r>
            <w:r>
              <w:rPr>
                <w:kern w:val="0"/>
              </w:rPr>
              <w:t>—各种因素引起的衰减量，dB。</w:t>
            </w:r>
          </w:p>
          <w:p>
            <w:pPr>
              <w:widowControl/>
              <w:spacing w:line="360" w:lineRule="auto"/>
              <w:ind w:firstLine="480"/>
              <w:rPr>
                <w:kern w:val="0"/>
              </w:rPr>
            </w:pPr>
            <w:r>
              <w:rPr>
                <w:kern w:val="0"/>
              </w:rPr>
              <w:t>如已知声源的倍频带声功率级</w:t>
            </w:r>
            <w:r>
              <w:rPr>
                <w:kern w:val="0"/>
              </w:rPr>
              <w:drawing>
                <wp:inline distT="0" distB="0" distL="114300" distR="114300">
                  <wp:extent cx="314325" cy="228600"/>
                  <wp:effectExtent l="0" t="0" r="7620" b="0"/>
                  <wp:docPr id="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5"/>
                          <pic:cNvPicPr>
                            <a:picLocks noChangeAspect="1"/>
                          </pic:cNvPicPr>
                        </pic:nvPicPr>
                        <pic:blipFill>
                          <a:blip r:embed="rId27"/>
                          <a:stretch>
                            <a:fillRect/>
                          </a:stretch>
                        </pic:blipFill>
                        <pic:spPr>
                          <a:xfrm>
                            <a:off x="0" y="0"/>
                            <a:ext cx="314325" cy="228600"/>
                          </a:xfrm>
                          <a:prstGeom prst="rect">
                            <a:avLst/>
                          </a:prstGeom>
                          <a:noFill/>
                          <a:ln>
                            <a:noFill/>
                          </a:ln>
                        </pic:spPr>
                      </pic:pic>
                    </a:graphicData>
                  </a:graphic>
                </wp:inline>
              </w:drawing>
            </w:r>
            <w:r>
              <w:rPr>
                <w:kern w:val="0"/>
              </w:rPr>
              <w:t>，且声源可看作是位于地面上的，则</w:t>
            </w:r>
          </w:p>
          <w:p>
            <w:pPr>
              <w:pStyle w:val="53"/>
              <w:spacing w:line="360" w:lineRule="auto"/>
              <w:ind w:firstLine="0" w:firstLineChars="0"/>
              <w:jc w:val="center"/>
            </w:pPr>
            <w:r>
              <w:drawing>
                <wp:inline distT="0" distB="0" distL="114300" distR="114300">
                  <wp:extent cx="1704340" cy="228600"/>
                  <wp:effectExtent l="0" t="0" r="4445" b="5080"/>
                  <wp:docPr id="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6"/>
                          <pic:cNvPicPr>
                            <a:picLocks noChangeAspect="1"/>
                          </pic:cNvPicPr>
                        </pic:nvPicPr>
                        <pic:blipFill>
                          <a:blip r:embed="rId36"/>
                          <a:stretch>
                            <a:fillRect/>
                          </a:stretch>
                        </pic:blipFill>
                        <pic:spPr>
                          <a:xfrm>
                            <a:off x="0" y="0"/>
                            <a:ext cx="1704340" cy="228600"/>
                          </a:xfrm>
                          <a:prstGeom prst="rect">
                            <a:avLst/>
                          </a:prstGeom>
                          <a:noFill/>
                          <a:ln>
                            <a:noFill/>
                          </a:ln>
                        </pic:spPr>
                      </pic:pic>
                    </a:graphicData>
                  </a:graphic>
                </wp:inline>
              </w:drawing>
            </w:r>
          </w:p>
          <w:p>
            <w:pPr>
              <w:pStyle w:val="53"/>
              <w:spacing w:line="360" w:lineRule="auto"/>
              <w:ind w:firstLine="480"/>
            </w:pPr>
            <w:r>
              <w:t>由各倍频带声压级合成计算该声源产生的A声级</w:t>
            </w:r>
            <w:r>
              <w:drawing>
                <wp:inline distT="0" distB="0" distL="114300" distR="114300">
                  <wp:extent cx="485775" cy="219075"/>
                  <wp:effectExtent l="0" t="0" r="0" b="0"/>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37"/>
                          <a:stretch>
                            <a:fillRect/>
                          </a:stretch>
                        </pic:blipFill>
                        <pic:spPr>
                          <a:xfrm>
                            <a:off x="0" y="0"/>
                            <a:ext cx="485775" cy="219075"/>
                          </a:xfrm>
                          <a:prstGeom prst="rect">
                            <a:avLst/>
                          </a:prstGeom>
                          <a:noFill/>
                          <a:ln>
                            <a:noFill/>
                          </a:ln>
                        </pic:spPr>
                      </pic:pic>
                    </a:graphicData>
                  </a:graphic>
                </wp:inline>
              </w:drawing>
            </w:r>
            <w:r>
              <w:t>。</w:t>
            </w:r>
          </w:p>
          <w:p>
            <w:pPr>
              <w:pStyle w:val="53"/>
              <w:spacing w:line="360" w:lineRule="auto"/>
              <w:ind w:firstLine="480"/>
            </w:pPr>
            <w:r>
              <w:t>计算总声压级</w:t>
            </w:r>
          </w:p>
          <w:p>
            <w:pPr>
              <w:pStyle w:val="53"/>
              <w:spacing w:line="360" w:lineRule="auto"/>
              <w:ind w:firstLine="480"/>
            </w:pPr>
            <w:r>
              <w:t>设第i个室外声源在预测点产生的A声级为</w:t>
            </w:r>
            <w:r>
              <w:drawing>
                <wp:inline distT="0" distB="0" distL="114300" distR="114300">
                  <wp:extent cx="333375" cy="238125"/>
                  <wp:effectExtent l="0" t="0" r="2540" b="10795"/>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38"/>
                          <a:stretch>
                            <a:fillRect/>
                          </a:stretch>
                        </pic:blipFill>
                        <pic:spPr>
                          <a:xfrm>
                            <a:off x="0" y="0"/>
                            <a:ext cx="333375" cy="238125"/>
                          </a:xfrm>
                          <a:prstGeom prst="rect">
                            <a:avLst/>
                          </a:prstGeom>
                          <a:noFill/>
                          <a:ln>
                            <a:noFill/>
                          </a:ln>
                        </pic:spPr>
                      </pic:pic>
                    </a:graphicData>
                  </a:graphic>
                </wp:inline>
              </w:drawing>
            </w:r>
            <w:r>
              <w:t>，在</w:t>
            </w:r>
            <w:r>
              <w:drawing>
                <wp:inline distT="0" distB="0" distL="114300" distR="114300">
                  <wp:extent cx="142875" cy="161925"/>
                  <wp:effectExtent l="0" t="0" r="3175" b="13335"/>
                  <wp:docPr id="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9"/>
                          <pic:cNvPicPr>
                            <a:picLocks noChangeAspect="1"/>
                          </pic:cNvPicPr>
                        </pic:nvPicPr>
                        <pic:blipFill>
                          <a:blip r:embed="rId39"/>
                          <a:stretch>
                            <a:fillRect/>
                          </a:stretch>
                        </pic:blipFill>
                        <pic:spPr>
                          <a:xfrm>
                            <a:off x="0" y="0"/>
                            <a:ext cx="142875" cy="161925"/>
                          </a:xfrm>
                          <a:prstGeom prst="rect">
                            <a:avLst/>
                          </a:prstGeom>
                          <a:noFill/>
                          <a:ln>
                            <a:noFill/>
                          </a:ln>
                        </pic:spPr>
                      </pic:pic>
                    </a:graphicData>
                  </a:graphic>
                </wp:inline>
              </w:drawing>
            </w:r>
            <w:r>
              <w:t>时间内该声源工作时间为</w:t>
            </w:r>
            <w:r>
              <w:drawing>
                <wp:inline distT="0" distB="0" distL="114300" distR="114300">
                  <wp:extent cx="219075" cy="238125"/>
                  <wp:effectExtent l="0" t="0" r="0" b="11430"/>
                  <wp:docPr id="9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0"/>
                          <pic:cNvPicPr>
                            <a:picLocks noChangeAspect="1"/>
                          </pic:cNvPicPr>
                        </pic:nvPicPr>
                        <pic:blipFill>
                          <a:blip r:embed="rId40"/>
                          <a:stretch>
                            <a:fillRect/>
                          </a:stretch>
                        </pic:blipFill>
                        <pic:spPr>
                          <a:xfrm>
                            <a:off x="0" y="0"/>
                            <a:ext cx="219075" cy="238125"/>
                          </a:xfrm>
                          <a:prstGeom prst="rect">
                            <a:avLst/>
                          </a:prstGeom>
                          <a:noFill/>
                          <a:ln>
                            <a:noFill/>
                          </a:ln>
                        </pic:spPr>
                      </pic:pic>
                    </a:graphicData>
                  </a:graphic>
                </wp:inline>
              </w:drawing>
            </w:r>
            <w:r>
              <w:t>，第j个等效室外声源在预测点产生的A声级为</w:t>
            </w:r>
            <w:r>
              <w:drawing>
                <wp:inline distT="0" distB="0" distL="114300" distR="114300">
                  <wp:extent cx="390525" cy="238125"/>
                  <wp:effectExtent l="0" t="0" r="3810" b="10795"/>
                  <wp:docPr id="9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
                          <pic:cNvPicPr>
                            <a:picLocks noChangeAspect="1"/>
                          </pic:cNvPicPr>
                        </pic:nvPicPr>
                        <pic:blipFill>
                          <a:blip r:embed="rId41"/>
                          <a:stretch>
                            <a:fillRect/>
                          </a:stretch>
                        </pic:blipFill>
                        <pic:spPr>
                          <a:xfrm>
                            <a:off x="0" y="0"/>
                            <a:ext cx="390525" cy="238125"/>
                          </a:xfrm>
                          <a:prstGeom prst="rect">
                            <a:avLst/>
                          </a:prstGeom>
                          <a:noFill/>
                          <a:ln>
                            <a:noFill/>
                          </a:ln>
                        </pic:spPr>
                      </pic:pic>
                    </a:graphicData>
                  </a:graphic>
                </wp:inline>
              </w:drawing>
            </w:r>
            <w:r>
              <w:t>，在</w:t>
            </w:r>
            <w:r>
              <w:drawing>
                <wp:inline distT="0" distB="0" distL="114300" distR="114300">
                  <wp:extent cx="142875" cy="161925"/>
                  <wp:effectExtent l="0" t="0" r="3175" b="13335"/>
                  <wp:docPr id="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2"/>
                          <pic:cNvPicPr>
                            <a:picLocks noChangeAspect="1"/>
                          </pic:cNvPicPr>
                        </pic:nvPicPr>
                        <pic:blipFill>
                          <a:blip r:embed="rId39"/>
                          <a:stretch>
                            <a:fillRect/>
                          </a:stretch>
                        </pic:blipFill>
                        <pic:spPr>
                          <a:xfrm>
                            <a:off x="0" y="0"/>
                            <a:ext cx="142875" cy="161925"/>
                          </a:xfrm>
                          <a:prstGeom prst="rect">
                            <a:avLst/>
                          </a:prstGeom>
                          <a:noFill/>
                          <a:ln>
                            <a:noFill/>
                          </a:ln>
                        </pic:spPr>
                      </pic:pic>
                    </a:graphicData>
                  </a:graphic>
                </wp:inline>
              </w:drawing>
            </w:r>
            <w:r>
              <w:t>时间内该声源工作时间为</w:t>
            </w:r>
            <w:r>
              <w:drawing>
                <wp:inline distT="0" distB="0" distL="114300" distR="114300">
                  <wp:extent cx="295275" cy="238125"/>
                  <wp:effectExtent l="0" t="0" r="11430" b="11430"/>
                  <wp:docPr id="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3"/>
                          <pic:cNvPicPr>
                            <a:picLocks noChangeAspect="1"/>
                          </pic:cNvPicPr>
                        </pic:nvPicPr>
                        <pic:blipFill>
                          <a:blip r:embed="rId42"/>
                          <a:stretch>
                            <a:fillRect/>
                          </a:stretch>
                        </pic:blipFill>
                        <pic:spPr>
                          <a:xfrm>
                            <a:off x="0" y="0"/>
                            <a:ext cx="295275" cy="238125"/>
                          </a:xfrm>
                          <a:prstGeom prst="rect">
                            <a:avLst/>
                          </a:prstGeom>
                          <a:noFill/>
                          <a:ln>
                            <a:noFill/>
                          </a:ln>
                        </pic:spPr>
                      </pic:pic>
                    </a:graphicData>
                  </a:graphic>
                </wp:inline>
              </w:drawing>
            </w:r>
            <w:r>
              <w:t>，则预测点的总等效声级为：</w:t>
            </w:r>
          </w:p>
          <w:p>
            <w:pPr>
              <w:widowControl/>
              <w:spacing w:line="360" w:lineRule="auto"/>
              <w:ind w:firstLine="480"/>
              <w:jc w:val="center"/>
              <w:rPr>
                <w:kern w:val="0"/>
              </w:rPr>
            </w:pPr>
            <w:r>
              <w:rPr>
                <w:kern w:val="0"/>
              </w:rPr>
              <w:drawing>
                <wp:inline distT="0" distB="0" distL="114300" distR="114300">
                  <wp:extent cx="3276600" cy="485775"/>
                  <wp:effectExtent l="0" t="0" r="9525" b="10795"/>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43"/>
                          <a:stretch>
                            <a:fillRect/>
                          </a:stretch>
                        </pic:blipFill>
                        <pic:spPr>
                          <a:xfrm>
                            <a:off x="0" y="0"/>
                            <a:ext cx="3276600" cy="485775"/>
                          </a:xfrm>
                          <a:prstGeom prst="rect">
                            <a:avLst/>
                          </a:prstGeom>
                          <a:noFill/>
                          <a:ln>
                            <a:noFill/>
                          </a:ln>
                        </pic:spPr>
                      </pic:pic>
                    </a:graphicData>
                  </a:graphic>
                </wp:inline>
              </w:drawing>
            </w:r>
          </w:p>
          <w:p>
            <w:pPr>
              <w:widowControl/>
              <w:spacing w:line="360" w:lineRule="auto"/>
              <w:ind w:firstLine="480"/>
              <w:rPr>
                <w:kern w:val="0"/>
              </w:rPr>
            </w:pPr>
            <w:r>
              <w:rPr>
                <w:kern w:val="0"/>
              </w:rPr>
              <w:t>式中：</w:t>
            </w:r>
            <w:r>
              <w:rPr>
                <w:kern w:val="0"/>
              </w:rPr>
              <w:drawing>
                <wp:inline distT="0" distB="0" distL="114300" distR="114300">
                  <wp:extent cx="142875" cy="161925"/>
                  <wp:effectExtent l="0" t="0" r="3175" b="13335"/>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39"/>
                          <a:stretch>
                            <a:fillRect/>
                          </a:stretch>
                        </pic:blipFill>
                        <pic:spPr>
                          <a:xfrm>
                            <a:off x="0" y="0"/>
                            <a:ext cx="142875" cy="161925"/>
                          </a:xfrm>
                          <a:prstGeom prst="rect">
                            <a:avLst/>
                          </a:prstGeom>
                          <a:noFill/>
                          <a:ln>
                            <a:noFill/>
                          </a:ln>
                        </pic:spPr>
                      </pic:pic>
                    </a:graphicData>
                  </a:graphic>
                </wp:inline>
              </w:drawing>
            </w:r>
            <w:r>
              <w:rPr>
                <w:kern w:val="0"/>
              </w:rPr>
              <w:t>—计算等效声级的时间，h；</w:t>
            </w:r>
          </w:p>
          <w:p>
            <w:pPr>
              <w:widowControl/>
              <w:spacing w:line="360" w:lineRule="auto"/>
              <w:ind w:firstLine="1200" w:firstLineChars="500"/>
              <w:rPr>
                <w:kern w:val="0"/>
              </w:rPr>
            </w:pPr>
            <w:r>
              <w:rPr>
                <w:kern w:val="0"/>
              </w:rPr>
              <w:drawing>
                <wp:inline distT="0" distB="0" distL="114300" distR="114300">
                  <wp:extent cx="180975" cy="180975"/>
                  <wp:effectExtent l="0" t="0" r="889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pic:cNvPicPr>
                        </pic:nvPicPr>
                        <pic:blipFill>
                          <a:blip r:embed="rId44"/>
                          <a:stretch>
                            <a:fillRect/>
                          </a:stretch>
                        </pic:blipFill>
                        <pic:spPr>
                          <a:xfrm>
                            <a:off x="0" y="0"/>
                            <a:ext cx="180975" cy="180975"/>
                          </a:xfrm>
                          <a:prstGeom prst="rect">
                            <a:avLst/>
                          </a:prstGeom>
                          <a:noFill/>
                          <a:ln>
                            <a:noFill/>
                          </a:ln>
                        </pic:spPr>
                      </pic:pic>
                    </a:graphicData>
                  </a:graphic>
                </wp:inline>
              </w:drawing>
            </w:r>
            <w:r>
              <w:rPr>
                <w:kern w:val="0"/>
              </w:rPr>
              <w:t>—室外声源个数；</w:t>
            </w:r>
          </w:p>
          <w:p>
            <w:pPr>
              <w:pStyle w:val="53"/>
              <w:spacing w:line="360" w:lineRule="auto"/>
              <w:ind w:firstLine="1200" w:firstLineChars="500"/>
            </w:pPr>
            <w:r>
              <w:drawing>
                <wp:inline distT="0" distB="0" distL="114300" distR="114300">
                  <wp:extent cx="200025" cy="161925"/>
                  <wp:effectExtent l="0" t="0" r="4445" b="13335"/>
                  <wp:docPr id="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7"/>
                          <pic:cNvPicPr>
                            <a:picLocks noChangeAspect="1"/>
                          </pic:cNvPicPr>
                        </pic:nvPicPr>
                        <pic:blipFill>
                          <a:blip r:embed="rId45"/>
                          <a:stretch>
                            <a:fillRect/>
                          </a:stretch>
                        </pic:blipFill>
                        <pic:spPr>
                          <a:xfrm>
                            <a:off x="0" y="0"/>
                            <a:ext cx="200025" cy="161925"/>
                          </a:xfrm>
                          <a:prstGeom prst="rect">
                            <a:avLst/>
                          </a:prstGeom>
                          <a:noFill/>
                          <a:ln>
                            <a:noFill/>
                          </a:ln>
                        </pic:spPr>
                      </pic:pic>
                    </a:graphicData>
                  </a:graphic>
                </wp:inline>
              </w:drawing>
            </w:r>
            <w:r>
              <w:t>—等效室外声源个数。</w:t>
            </w:r>
          </w:p>
          <w:p>
            <w:pPr>
              <w:spacing w:line="360" w:lineRule="auto"/>
              <w:ind w:firstLine="1200" w:firstLineChars="500"/>
            </w:pPr>
            <w:r>
              <w:rPr>
                <w:i/>
              </w:rPr>
              <w:t>L</w:t>
            </w:r>
            <w:r>
              <w:rPr>
                <w:i/>
                <w:vertAlign w:val="subscript"/>
              </w:rPr>
              <w:t>eqb</w:t>
            </w:r>
            <w:r>
              <w:t>－预测点的背景值，dB(A)。</w:t>
            </w:r>
          </w:p>
          <w:p>
            <w:pPr>
              <w:spacing w:line="360" w:lineRule="auto"/>
              <w:ind w:firstLine="480" w:firstLineChars="200"/>
            </w:pPr>
            <w:r>
              <w:t>根据各类施工机械设备的噪声值以及产噪特点，本项目施工期间各类机械通过距离衰减后，设备噪声预测结果见表4-3、</w:t>
            </w:r>
          </w:p>
          <w:p>
            <w:pPr>
              <w:jc w:val="center"/>
              <w:rPr>
                <w:b/>
                <w:sz w:val="21"/>
                <w:szCs w:val="21"/>
              </w:rPr>
            </w:pPr>
            <w:r>
              <w:rPr>
                <w:b/>
                <w:bCs/>
                <w:sz w:val="21"/>
                <w:szCs w:val="21"/>
                <w:lang w:bidi="ar"/>
              </w:rPr>
              <w:t xml:space="preserve">表4-3    施工设备噪声类比及衰减结果表  </w:t>
            </w:r>
            <w:r>
              <w:rPr>
                <w:b/>
                <w:sz w:val="21"/>
                <w:szCs w:val="21"/>
                <w:lang w:bidi="ar"/>
              </w:rPr>
              <w:t>单位：Leq[dB(A)]</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681"/>
              <w:gridCol w:w="997"/>
              <w:gridCol w:w="1013"/>
              <w:gridCol w:w="1199"/>
              <w:gridCol w:w="1273"/>
              <w:gridCol w:w="1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65" w:type="pct"/>
                  <w:vMerge w:val="restart"/>
                  <w:vAlign w:val="center"/>
                </w:tcPr>
                <w:p>
                  <w:pPr>
                    <w:jc w:val="center"/>
                    <w:rPr>
                      <w:sz w:val="21"/>
                      <w:szCs w:val="21"/>
                    </w:rPr>
                  </w:pPr>
                  <w:r>
                    <w:rPr>
                      <w:sz w:val="21"/>
                      <w:szCs w:val="21"/>
                    </w:rPr>
                    <w:t>声源</w:t>
                  </w:r>
                </w:p>
              </w:tc>
              <w:tc>
                <w:tcPr>
                  <w:tcW w:w="439" w:type="pct"/>
                  <w:vMerge w:val="restart"/>
                  <w:vAlign w:val="center"/>
                </w:tcPr>
                <w:p>
                  <w:pPr>
                    <w:jc w:val="center"/>
                    <w:rPr>
                      <w:sz w:val="21"/>
                      <w:szCs w:val="21"/>
                    </w:rPr>
                  </w:pPr>
                  <w:r>
                    <w:rPr>
                      <w:sz w:val="21"/>
                      <w:szCs w:val="21"/>
                    </w:rPr>
                    <w:t>峰值</w:t>
                  </w:r>
                </w:p>
              </w:tc>
              <w:tc>
                <w:tcPr>
                  <w:tcW w:w="3895" w:type="pct"/>
                  <w:gridSpan w:val="5"/>
                  <w:vAlign w:val="center"/>
                </w:tcPr>
                <w:p>
                  <w:pPr>
                    <w:jc w:val="center"/>
                    <w:rPr>
                      <w:sz w:val="21"/>
                      <w:szCs w:val="21"/>
                    </w:rPr>
                  </w:pPr>
                  <w:r>
                    <w:rPr>
                      <w:sz w:val="21"/>
                      <w:szCs w:val="21"/>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665" w:type="pct"/>
                  <w:vMerge w:val="continue"/>
                  <w:vAlign w:val="center"/>
                </w:tcPr>
                <w:p>
                  <w:pPr>
                    <w:jc w:val="center"/>
                    <w:rPr>
                      <w:sz w:val="21"/>
                      <w:szCs w:val="21"/>
                    </w:rPr>
                  </w:pPr>
                </w:p>
              </w:tc>
              <w:tc>
                <w:tcPr>
                  <w:tcW w:w="439" w:type="pct"/>
                  <w:vMerge w:val="continue"/>
                  <w:vAlign w:val="center"/>
                </w:tcPr>
                <w:p>
                  <w:pPr>
                    <w:jc w:val="center"/>
                    <w:rPr>
                      <w:sz w:val="21"/>
                      <w:szCs w:val="21"/>
                    </w:rPr>
                  </w:pPr>
                </w:p>
              </w:tc>
              <w:tc>
                <w:tcPr>
                  <w:tcW w:w="644" w:type="pct"/>
                  <w:vAlign w:val="center"/>
                </w:tcPr>
                <w:p>
                  <w:pPr>
                    <w:jc w:val="center"/>
                    <w:rPr>
                      <w:sz w:val="21"/>
                      <w:szCs w:val="21"/>
                    </w:rPr>
                  </w:pPr>
                  <w:r>
                    <w:rPr>
                      <w:sz w:val="21"/>
                      <w:szCs w:val="21"/>
                    </w:rPr>
                    <w:t>15</w:t>
                  </w:r>
                </w:p>
              </w:tc>
              <w:tc>
                <w:tcPr>
                  <w:tcW w:w="654" w:type="pct"/>
                  <w:vAlign w:val="center"/>
                </w:tcPr>
                <w:p>
                  <w:pPr>
                    <w:jc w:val="center"/>
                    <w:rPr>
                      <w:sz w:val="21"/>
                      <w:szCs w:val="21"/>
                    </w:rPr>
                  </w:pPr>
                  <w:r>
                    <w:rPr>
                      <w:sz w:val="21"/>
                      <w:szCs w:val="21"/>
                    </w:rPr>
                    <w:t>20</w:t>
                  </w:r>
                </w:p>
              </w:tc>
              <w:tc>
                <w:tcPr>
                  <w:tcW w:w="774" w:type="pct"/>
                  <w:vAlign w:val="center"/>
                </w:tcPr>
                <w:p>
                  <w:pPr>
                    <w:jc w:val="center"/>
                    <w:rPr>
                      <w:sz w:val="21"/>
                      <w:szCs w:val="21"/>
                    </w:rPr>
                  </w:pPr>
                  <w:r>
                    <w:rPr>
                      <w:sz w:val="21"/>
                      <w:szCs w:val="21"/>
                    </w:rPr>
                    <w:t>60</w:t>
                  </w:r>
                </w:p>
              </w:tc>
              <w:tc>
                <w:tcPr>
                  <w:tcW w:w="822" w:type="pct"/>
                  <w:vAlign w:val="center"/>
                </w:tcPr>
                <w:p>
                  <w:pPr>
                    <w:jc w:val="center"/>
                    <w:rPr>
                      <w:sz w:val="21"/>
                      <w:szCs w:val="21"/>
                    </w:rPr>
                  </w:pPr>
                  <w:r>
                    <w:rPr>
                      <w:sz w:val="21"/>
                      <w:szCs w:val="21"/>
                    </w:rPr>
                    <w:t>120</w:t>
                  </w:r>
                </w:p>
              </w:tc>
              <w:tc>
                <w:tcPr>
                  <w:tcW w:w="1000" w:type="pct"/>
                  <w:vAlign w:val="center"/>
                </w:tcPr>
                <w:p>
                  <w:pPr>
                    <w:jc w:val="center"/>
                    <w:rPr>
                      <w:sz w:val="21"/>
                      <w:szCs w:val="21"/>
                    </w:rPr>
                  </w:pPr>
                  <w:r>
                    <w:rPr>
                      <w:sz w:val="21"/>
                      <w:szCs w:val="21"/>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65" w:type="pct"/>
                  <w:vAlign w:val="center"/>
                </w:tcPr>
                <w:p>
                  <w:pPr>
                    <w:jc w:val="center"/>
                    <w:rPr>
                      <w:sz w:val="21"/>
                      <w:szCs w:val="21"/>
                    </w:rPr>
                  </w:pPr>
                  <w:r>
                    <w:rPr>
                      <w:sz w:val="21"/>
                      <w:szCs w:val="21"/>
                    </w:rPr>
                    <w:t>装载车</w:t>
                  </w:r>
                </w:p>
              </w:tc>
              <w:tc>
                <w:tcPr>
                  <w:tcW w:w="439" w:type="pct"/>
                  <w:vAlign w:val="center"/>
                </w:tcPr>
                <w:p>
                  <w:pPr>
                    <w:jc w:val="center"/>
                    <w:rPr>
                      <w:sz w:val="21"/>
                      <w:szCs w:val="21"/>
                    </w:rPr>
                  </w:pPr>
                  <w:r>
                    <w:rPr>
                      <w:sz w:val="21"/>
                      <w:szCs w:val="21"/>
                    </w:rPr>
                    <w:t>90</w:t>
                  </w:r>
                </w:p>
              </w:tc>
              <w:tc>
                <w:tcPr>
                  <w:tcW w:w="644" w:type="pct"/>
                  <w:vAlign w:val="center"/>
                </w:tcPr>
                <w:p>
                  <w:pPr>
                    <w:jc w:val="center"/>
                    <w:rPr>
                      <w:sz w:val="21"/>
                      <w:szCs w:val="21"/>
                    </w:rPr>
                  </w:pPr>
                  <w:r>
                    <w:rPr>
                      <w:sz w:val="21"/>
                      <w:szCs w:val="21"/>
                    </w:rPr>
                    <w:t>80～89</w:t>
                  </w:r>
                </w:p>
              </w:tc>
              <w:tc>
                <w:tcPr>
                  <w:tcW w:w="654" w:type="pct"/>
                  <w:vAlign w:val="center"/>
                </w:tcPr>
                <w:p>
                  <w:pPr>
                    <w:jc w:val="center"/>
                    <w:rPr>
                      <w:sz w:val="21"/>
                      <w:szCs w:val="21"/>
                    </w:rPr>
                  </w:pPr>
                  <w:r>
                    <w:rPr>
                      <w:sz w:val="21"/>
                      <w:szCs w:val="21"/>
                    </w:rPr>
                    <w:t>74～82</w:t>
                  </w:r>
                </w:p>
              </w:tc>
              <w:tc>
                <w:tcPr>
                  <w:tcW w:w="774" w:type="pct"/>
                  <w:vAlign w:val="center"/>
                </w:tcPr>
                <w:p>
                  <w:pPr>
                    <w:jc w:val="center"/>
                    <w:rPr>
                      <w:sz w:val="21"/>
                      <w:szCs w:val="21"/>
                    </w:rPr>
                  </w:pPr>
                  <w:r>
                    <w:rPr>
                      <w:sz w:val="21"/>
                      <w:szCs w:val="21"/>
                    </w:rPr>
                    <w:t>68～77</w:t>
                  </w:r>
                </w:p>
              </w:tc>
              <w:tc>
                <w:tcPr>
                  <w:tcW w:w="822" w:type="pct"/>
                  <w:vAlign w:val="center"/>
                </w:tcPr>
                <w:p>
                  <w:pPr>
                    <w:jc w:val="center"/>
                    <w:rPr>
                      <w:sz w:val="21"/>
                      <w:szCs w:val="21"/>
                    </w:rPr>
                  </w:pPr>
                  <w:r>
                    <w:rPr>
                      <w:sz w:val="21"/>
                      <w:szCs w:val="21"/>
                    </w:rPr>
                    <w:t>60～71</w:t>
                  </w:r>
                </w:p>
              </w:tc>
              <w:tc>
                <w:tcPr>
                  <w:tcW w:w="1000" w:type="pct"/>
                  <w:vAlign w:val="center"/>
                </w:tcPr>
                <w:p>
                  <w:pPr>
                    <w:jc w:val="center"/>
                    <w:rPr>
                      <w:sz w:val="21"/>
                      <w:szCs w:val="21"/>
                    </w:rPr>
                  </w:pPr>
                  <w:r>
                    <w:rPr>
                      <w:sz w:val="21"/>
                      <w:szCs w:val="21"/>
                    </w:rPr>
                    <w:t>43-51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5" w:type="pct"/>
                  <w:vAlign w:val="center"/>
                </w:tcPr>
                <w:p>
                  <w:pPr>
                    <w:jc w:val="center"/>
                    <w:rPr>
                      <w:sz w:val="21"/>
                      <w:szCs w:val="21"/>
                    </w:rPr>
                  </w:pPr>
                  <w:r>
                    <w:rPr>
                      <w:sz w:val="21"/>
                      <w:szCs w:val="21"/>
                    </w:rPr>
                    <w:t>推土机</w:t>
                  </w:r>
                </w:p>
              </w:tc>
              <w:tc>
                <w:tcPr>
                  <w:tcW w:w="439" w:type="pct"/>
                  <w:vAlign w:val="center"/>
                </w:tcPr>
                <w:p>
                  <w:pPr>
                    <w:jc w:val="center"/>
                    <w:rPr>
                      <w:sz w:val="21"/>
                      <w:szCs w:val="21"/>
                    </w:rPr>
                  </w:pPr>
                  <w:r>
                    <w:rPr>
                      <w:sz w:val="21"/>
                      <w:szCs w:val="21"/>
                    </w:rPr>
                    <w:t>107</w:t>
                  </w:r>
                </w:p>
              </w:tc>
              <w:tc>
                <w:tcPr>
                  <w:tcW w:w="644" w:type="pct"/>
                  <w:vAlign w:val="center"/>
                </w:tcPr>
                <w:p>
                  <w:pPr>
                    <w:jc w:val="center"/>
                    <w:rPr>
                      <w:sz w:val="21"/>
                      <w:szCs w:val="21"/>
                    </w:rPr>
                  </w:pPr>
                  <w:r>
                    <w:rPr>
                      <w:sz w:val="21"/>
                      <w:szCs w:val="21"/>
                    </w:rPr>
                    <w:t>87～102</w:t>
                  </w:r>
                </w:p>
              </w:tc>
              <w:tc>
                <w:tcPr>
                  <w:tcW w:w="654" w:type="pct"/>
                  <w:vAlign w:val="center"/>
                </w:tcPr>
                <w:p>
                  <w:pPr>
                    <w:jc w:val="center"/>
                    <w:rPr>
                      <w:sz w:val="21"/>
                      <w:szCs w:val="21"/>
                    </w:rPr>
                  </w:pPr>
                  <w:r>
                    <w:rPr>
                      <w:sz w:val="21"/>
                      <w:szCs w:val="21"/>
                    </w:rPr>
                    <w:t>81～96</w:t>
                  </w:r>
                </w:p>
              </w:tc>
              <w:tc>
                <w:tcPr>
                  <w:tcW w:w="774" w:type="pct"/>
                  <w:vAlign w:val="center"/>
                </w:tcPr>
                <w:p>
                  <w:pPr>
                    <w:jc w:val="center"/>
                    <w:rPr>
                      <w:sz w:val="21"/>
                      <w:szCs w:val="21"/>
                    </w:rPr>
                  </w:pPr>
                  <w:r>
                    <w:rPr>
                      <w:sz w:val="21"/>
                      <w:szCs w:val="21"/>
                    </w:rPr>
                    <w:t>75～90</w:t>
                  </w:r>
                </w:p>
              </w:tc>
              <w:tc>
                <w:tcPr>
                  <w:tcW w:w="822" w:type="pct"/>
                  <w:vAlign w:val="center"/>
                </w:tcPr>
                <w:p>
                  <w:pPr>
                    <w:jc w:val="center"/>
                    <w:rPr>
                      <w:sz w:val="21"/>
                      <w:szCs w:val="21"/>
                    </w:rPr>
                  </w:pPr>
                  <w:r>
                    <w:rPr>
                      <w:sz w:val="21"/>
                      <w:szCs w:val="21"/>
                    </w:rPr>
                    <w:t>69～84</w:t>
                  </w:r>
                </w:p>
              </w:tc>
              <w:tc>
                <w:tcPr>
                  <w:tcW w:w="1000" w:type="pct"/>
                  <w:vAlign w:val="center"/>
                </w:tcPr>
                <w:p>
                  <w:pPr>
                    <w:jc w:val="center"/>
                    <w:rPr>
                      <w:sz w:val="21"/>
                      <w:szCs w:val="21"/>
                    </w:rPr>
                  </w:pPr>
                  <w:r>
                    <w:rPr>
                      <w:sz w:val="21"/>
                      <w:szCs w:val="21"/>
                    </w:rPr>
                    <w:t>60-68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5" w:type="pct"/>
                  <w:vAlign w:val="center"/>
                </w:tcPr>
                <w:p>
                  <w:pPr>
                    <w:jc w:val="center"/>
                    <w:rPr>
                      <w:sz w:val="21"/>
                      <w:szCs w:val="21"/>
                    </w:rPr>
                  </w:pPr>
                  <w:r>
                    <w:rPr>
                      <w:sz w:val="21"/>
                      <w:szCs w:val="21"/>
                    </w:rPr>
                    <w:t>压路机</w:t>
                  </w:r>
                </w:p>
              </w:tc>
              <w:tc>
                <w:tcPr>
                  <w:tcW w:w="439" w:type="pct"/>
                  <w:vAlign w:val="center"/>
                </w:tcPr>
                <w:p>
                  <w:pPr>
                    <w:jc w:val="center"/>
                    <w:rPr>
                      <w:sz w:val="21"/>
                      <w:szCs w:val="21"/>
                    </w:rPr>
                  </w:pPr>
                  <w:r>
                    <w:rPr>
                      <w:sz w:val="21"/>
                      <w:szCs w:val="21"/>
                    </w:rPr>
                    <w:t>108</w:t>
                  </w:r>
                </w:p>
              </w:tc>
              <w:tc>
                <w:tcPr>
                  <w:tcW w:w="644" w:type="pct"/>
                  <w:vAlign w:val="center"/>
                </w:tcPr>
                <w:p>
                  <w:pPr>
                    <w:jc w:val="center"/>
                    <w:rPr>
                      <w:sz w:val="21"/>
                      <w:szCs w:val="21"/>
                    </w:rPr>
                  </w:pPr>
                  <w:r>
                    <w:rPr>
                      <w:sz w:val="21"/>
                      <w:szCs w:val="21"/>
                    </w:rPr>
                    <w:t>88～91</w:t>
                  </w:r>
                </w:p>
              </w:tc>
              <w:tc>
                <w:tcPr>
                  <w:tcW w:w="654" w:type="pct"/>
                  <w:vAlign w:val="center"/>
                </w:tcPr>
                <w:p>
                  <w:pPr>
                    <w:jc w:val="center"/>
                    <w:rPr>
                      <w:sz w:val="21"/>
                      <w:szCs w:val="21"/>
                    </w:rPr>
                  </w:pPr>
                  <w:r>
                    <w:rPr>
                      <w:sz w:val="21"/>
                      <w:szCs w:val="21"/>
                    </w:rPr>
                    <w:t>82～85</w:t>
                  </w:r>
                </w:p>
              </w:tc>
              <w:tc>
                <w:tcPr>
                  <w:tcW w:w="774" w:type="pct"/>
                  <w:vAlign w:val="center"/>
                </w:tcPr>
                <w:p>
                  <w:pPr>
                    <w:jc w:val="center"/>
                    <w:rPr>
                      <w:sz w:val="21"/>
                      <w:szCs w:val="21"/>
                    </w:rPr>
                  </w:pPr>
                  <w:r>
                    <w:rPr>
                      <w:sz w:val="21"/>
                      <w:szCs w:val="21"/>
                    </w:rPr>
                    <w:t>76～79</w:t>
                  </w:r>
                </w:p>
              </w:tc>
              <w:tc>
                <w:tcPr>
                  <w:tcW w:w="822" w:type="pct"/>
                  <w:vAlign w:val="center"/>
                </w:tcPr>
                <w:p>
                  <w:pPr>
                    <w:jc w:val="center"/>
                    <w:rPr>
                      <w:sz w:val="21"/>
                      <w:szCs w:val="21"/>
                    </w:rPr>
                  </w:pPr>
                  <w:r>
                    <w:rPr>
                      <w:sz w:val="21"/>
                      <w:szCs w:val="21"/>
                    </w:rPr>
                    <w:t>70～73</w:t>
                  </w:r>
                </w:p>
              </w:tc>
              <w:tc>
                <w:tcPr>
                  <w:tcW w:w="1000" w:type="pct"/>
                  <w:vAlign w:val="center"/>
                </w:tcPr>
                <w:p>
                  <w:pPr>
                    <w:jc w:val="center"/>
                    <w:rPr>
                      <w:sz w:val="21"/>
                      <w:szCs w:val="21"/>
                    </w:rPr>
                  </w:pPr>
                  <w:r>
                    <w:rPr>
                      <w:sz w:val="21"/>
                      <w:szCs w:val="21"/>
                    </w:rPr>
                    <w:t>61-69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65" w:type="pct"/>
                  <w:vAlign w:val="center"/>
                </w:tcPr>
                <w:p>
                  <w:pPr>
                    <w:jc w:val="center"/>
                    <w:rPr>
                      <w:sz w:val="21"/>
                      <w:szCs w:val="21"/>
                    </w:rPr>
                  </w:pPr>
                  <w:r>
                    <w:rPr>
                      <w:sz w:val="21"/>
                      <w:szCs w:val="21"/>
                    </w:rPr>
                    <w:t>挖掘机</w:t>
                  </w:r>
                </w:p>
              </w:tc>
              <w:tc>
                <w:tcPr>
                  <w:tcW w:w="439" w:type="pct"/>
                  <w:vAlign w:val="center"/>
                </w:tcPr>
                <w:p>
                  <w:pPr>
                    <w:jc w:val="center"/>
                    <w:rPr>
                      <w:sz w:val="21"/>
                      <w:szCs w:val="21"/>
                    </w:rPr>
                  </w:pPr>
                  <w:r>
                    <w:rPr>
                      <w:sz w:val="21"/>
                      <w:szCs w:val="21"/>
                    </w:rPr>
                    <w:t>89</w:t>
                  </w:r>
                </w:p>
              </w:tc>
              <w:tc>
                <w:tcPr>
                  <w:tcW w:w="644" w:type="pct"/>
                  <w:vAlign w:val="center"/>
                </w:tcPr>
                <w:p>
                  <w:pPr>
                    <w:jc w:val="center"/>
                    <w:rPr>
                      <w:sz w:val="21"/>
                      <w:szCs w:val="21"/>
                    </w:rPr>
                  </w:pPr>
                  <w:r>
                    <w:rPr>
                      <w:sz w:val="21"/>
                      <w:szCs w:val="21"/>
                    </w:rPr>
                    <w:t>76</w:t>
                  </w:r>
                </w:p>
              </w:tc>
              <w:tc>
                <w:tcPr>
                  <w:tcW w:w="654" w:type="pct"/>
                  <w:vAlign w:val="center"/>
                </w:tcPr>
                <w:p>
                  <w:pPr>
                    <w:jc w:val="center"/>
                    <w:rPr>
                      <w:sz w:val="21"/>
                      <w:szCs w:val="21"/>
                    </w:rPr>
                  </w:pPr>
                  <w:r>
                    <w:rPr>
                      <w:sz w:val="21"/>
                      <w:szCs w:val="21"/>
                    </w:rPr>
                    <w:t>71</w:t>
                  </w:r>
                </w:p>
              </w:tc>
              <w:tc>
                <w:tcPr>
                  <w:tcW w:w="774" w:type="pct"/>
                  <w:vAlign w:val="center"/>
                </w:tcPr>
                <w:p>
                  <w:pPr>
                    <w:jc w:val="center"/>
                    <w:rPr>
                      <w:sz w:val="21"/>
                      <w:szCs w:val="21"/>
                    </w:rPr>
                  </w:pPr>
                  <w:r>
                    <w:rPr>
                      <w:sz w:val="21"/>
                      <w:szCs w:val="21"/>
                    </w:rPr>
                    <w:t>65</w:t>
                  </w:r>
                </w:p>
              </w:tc>
              <w:tc>
                <w:tcPr>
                  <w:tcW w:w="822" w:type="pct"/>
                  <w:vAlign w:val="center"/>
                </w:tcPr>
                <w:p>
                  <w:pPr>
                    <w:jc w:val="center"/>
                    <w:rPr>
                      <w:sz w:val="21"/>
                      <w:szCs w:val="21"/>
                    </w:rPr>
                  </w:pPr>
                  <w:r>
                    <w:rPr>
                      <w:sz w:val="21"/>
                      <w:szCs w:val="21"/>
                    </w:rPr>
                    <w:t>60</w:t>
                  </w:r>
                </w:p>
              </w:tc>
              <w:tc>
                <w:tcPr>
                  <w:tcW w:w="1000" w:type="pct"/>
                  <w:vAlign w:val="center"/>
                </w:tcPr>
                <w:p>
                  <w:pPr>
                    <w:jc w:val="center"/>
                    <w:rPr>
                      <w:sz w:val="21"/>
                      <w:szCs w:val="21"/>
                    </w:rPr>
                  </w:pPr>
                  <w:r>
                    <w:rPr>
                      <w:sz w:val="21"/>
                      <w:szCs w:val="21"/>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665" w:type="pct"/>
                  <w:vAlign w:val="center"/>
                </w:tcPr>
                <w:p>
                  <w:pPr>
                    <w:jc w:val="center"/>
                    <w:rPr>
                      <w:sz w:val="21"/>
                      <w:szCs w:val="21"/>
                    </w:rPr>
                  </w:pPr>
                  <w:r>
                    <w:rPr>
                      <w:sz w:val="21"/>
                      <w:szCs w:val="21"/>
                    </w:rPr>
                    <w:t>挖沟机</w:t>
                  </w:r>
                </w:p>
              </w:tc>
              <w:tc>
                <w:tcPr>
                  <w:tcW w:w="439" w:type="pct"/>
                  <w:vAlign w:val="center"/>
                </w:tcPr>
                <w:p>
                  <w:pPr>
                    <w:jc w:val="center"/>
                    <w:rPr>
                      <w:sz w:val="21"/>
                      <w:szCs w:val="21"/>
                    </w:rPr>
                  </w:pPr>
                  <w:r>
                    <w:rPr>
                      <w:sz w:val="21"/>
                      <w:szCs w:val="21"/>
                    </w:rPr>
                    <w:t>104</w:t>
                  </w:r>
                </w:p>
              </w:tc>
              <w:tc>
                <w:tcPr>
                  <w:tcW w:w="644" w:type="pct"/>
                  <w:vAlign w:val="center"/>
                </w:tcPr>
                <w:p>
                  <w:pPr>
                    <w:jc w:val="center"/>
                    <w:rPr>
                      <w:sz w:val="21"/>
                      <w:szCs w:val="21"/>
                    </w:rPr>
                  </w:pPr>
                  <w:r>
                    <w:rPr>
                      <w:sz w:val="21"/>
                      <w:szCs w:val="21"/>
                    </w:rPr>
                    <w:t>80</w:t>
                  </w:r>
                </w:p>
              </w:tc>
              <w:tc>
                <w:tcPr>
                  <w:tcW w:w="654" w:type="pct"/>
                  <w:vAlign w:val="center"/>
                </w:tcPr>
                <w:p>
                  <w:pPr>
                    <w:jc w:val="center"/>
                    <w:rPr>
                      <w:sz w:val="21"/>
                      <w:szCs w:val="21"/>
                    </w:rPr>
                  </w:pPr>
                  <w:r>
                    <w:rPr>
                      <w:sz w:val="21"/>
                      <w:szCs w:val="21"/>
                    </w:rPr>
                    <w:t>77</w:t>
                  </w:r>
                </w:p>
              </w:tc>
              <w:tc>
                <w:tcPr>
                  <w:tcW w:w="774" w:type="pct"/>
                  <w:vAlign w:val="center"/>
                </w:tcPr>
                <w:p>
                  <w:pPr>
                    <w:jc w:val="center"/>
                    <w:rPr>
                      <w:sz w:val="21"/>
                      <w:szCs w:val="21"/>
                    </w:rPr>
                  </w:pPr>
                  <w:r>
                    <w:rPr>
                      <w:sz w:val="21"/>
                      <w:szCs w:val="21"/>
                    </w:rPr>
                    <w:t>69</w:t>
                  </w:r>
                </w:p>
              </w:tc>
              <w:tc>
                <w:tcPr>
                  <w:tcW w:w="822" w:type="pct"/>
                  <w:vAlign w:val="center"/>
                </w:tcPr>
                <w:p>
                  <w:pPr>
                    <w:jc w:val="center"/>
                    <w:rPr>
                      <w:sz w:val="21"/>
                      <w:szCs w:val="21"/>
                    </w:rPr>
                  </w:pPr>
                  <w:r>
                    <w:rPr>
                      <w:sz w:val="21"/>
                      <w:szCs w:val="21"/>
                    </w:rPr>
                    <w:t>65</w:t>
                  </w:r>
                </w:p>
              </w:tc>
              <w:tc>
                <w:tcPr>
                  <w:tcW w:w="1000" w:type="pct"/>
                  <w:vAlign w:val="center"/>
                </w:tcPr>
                <w:p>
                  <w:pPr>
                    <w:jc w:val="center"/>
                    <w:rPr>
                      <w:sz w:val="21"/>
                      <w:szCs w:val="21"/>
                    </w:rPr>
                  </w:pPr>
                  <w:r>
                    <w:rPr>
                      <w:sz w:val="21"/>
                      <w:szCs w:val="21"/>
                    </w:rPr>
                    <w:t>57</w:t>
                  </w:r>
                </w:p>
              </w:tc>
            </w:tr>
          </w:tbl>
          <w:p>
            <w:pPr>
              <w:topLinePunct/>
              <w:spacing w:before="120" w:beforeLines="50" w:line="360" w:lineRule="auto"/>
              <w:ind w:firstLine="480" w:firstLineChars="200"/>
              <w:rPr>
                <w:kern w:val="0"/>
                <w:lang w:bidi="ar"/>
              </w:rPr>
            </w:pPr>
            <w:r>
              <w:rPr>
                <w:kern w:val="0"/>
                <w:lang w:bidi="ar"/>
              </w:rPr>
              <w:t>一般施工现场均为多台机械同时作业，它们的声级会叠加，叠加的幅度随各机械声压级的差别而异。根据以上常用施工机械的噪声声压级范围，多台机械同时作业的声压级叠加值增加在3～8dB之间。建设方严格按施工图纸设计要求，禁止夜间和午间施工。根据《建筑施工场界环境噪声排放标准》(GBl2523-2011)昼间≤70、夜间≤55的规定，将本项目施工场界噪声尽量降低在此标准限值内。</w:t>
            </w:r>
          </w:p>
          <w:p>
            <w:pPr>
              <w:topLinePunct/>
              <w:spacing w:line="360" w:lineRule="auto"/>
              <w:ind w:firstLine="480" w:firstLineChars="200"/>
            </w:pPr>
            <w:r>
              <w:rPr>
                <w:kern w:val="0"/>
                <w:lang w:bidi="ar"/>
              </w:rPr>
              <w:t>各个点状施工现场50m范围内不存在环境敏感目标，管线780m范围内无村庄、居民点，所以施工机械噪声对周围环境影响较小。该影响属于短期的、暂时的，施工结束后就会自然消失。</w:t>
            </w:r>
          </w:p>
          <w:p>
            <w:pPr>
              <w:spacing w:line="360" w:lineRule="auto"/>
              <w:ind w:firstLine="482" w:firstLineChars="200"/>
              <w:rPr>
                <w:b/>
                <w:bCs/>
              </w:rPr>
            </w:pPr>
            <w:r>
              <w:rPr>
                <w:b/>
                <w:bCs/>
                <w:lang w:bidi="ar"/>
              </w:rPr>
              <w:t>（4）施工期固体废物影响分析</w:t>
            </w:r>
          </w:p>
          <w:p>
            <w:pPr>
              <w:spacing w:line="360" w:lineRule="auto"/>
              <w:ind w:firstLine="480" w:firstLineChars="200"/>
            </w:pPr>
            <w:r>
              <w:t>本项目施工期产生的固体废物主要包括：工程建设产生的弃土、废弃建材以及施工人员产生的生活垃圾。</w:t>
            </w:r>
          </w:p>
          <w:p>
            <w:pPr>
              <w:spacing w:line="360" w:lineRule="auto"/>
              <w:ind w:firstLine="480" w:firstLineChars="200"/>
            </w:pPr>
            <w:r>
              <w:t>1）施工固废</w:t>
            </w:r>
          </w:p>
          <w:p>
            <w:pPr>
              <w:spacing w:line="360" w:lineRule="auto"/>
              <w:ind w:firstLine="480" w:firstLineChars="200"/>
              <w:contextualSpacing/>
            </w:pPr>
            <w:r>
              <w:t>施工期产生的弃土如不及时清理和消除，或在运输时产生遗撒现象，都将对过往行人、车辆及道路交通产生不利影响，同时会引起风蚀，污染环境空气。故应采取必要措施，加强管理，进行集中堆放，统一处理。</w:t>
            </w:r>
          </w:p>
          <w:p>
            <w:pPr>
              <w:spacing w:line="360" w:lineRule="auto"/>
              <w:ind w:firstLine="480" w:firstLineChars="200"/>
            </w:pPr>
            <w:r>
              <w:t>本项目工程挖方后，大部分土方用作管沟回填，回填管沟后的剩余小部分土方，用于管线及道路两侧洼地填充或周围绿化带建设，同时及时压实洒上</w:t>
            </w:r>
            <w:r>
              <w:rPr>
                <w:rFonts w:hint="eastAsia"/>
                <w:lang w:eastAsia="zh-CN"/>
              </w:rPr>
              <w:t>一层</w:t>
            </w:r>
            <w:r>
              <w:t>水，使之形成一层防风结皮层，或用砾石覆盖，这样，对环境产生的影响将大大减小。挖、填、用土石方基本平衡，本工程土方均得到合理处置，无弃土产生。</w:t>
            </w:r>
          </w:p>
          <w:p>
            <w:pPr>
              <w:spacing w:line="360" w:lineRule="auto"/>
              <w:ind w:firstLine="480" w:firstLineChars="200"/>
              <w:contextualSpacing/>
            </w:pPr>
            <w:r>
              <w:t>2）生活垃圾</w:t>
            </w:r>
          </w:p>
          <w:p>
            <w:pPr>
              <w:spacing w:line="360" w:lineRule="auto"/>
              <w:ind w:firstLine="480" w:firstLineChars="200"/>
              <w:rPr>
                <w:kern w:val="0"/>
                <w:lang w:bidi="ar"/>
              </w:rPr>
            </w:pPr>
            <w:r>
              <w:t>在施工时，生活垃圾需加强管理，集中收集后可依托项目区附近的基础设施，如垃圾桶，垃圾箱等，再由城市管理部门及时清运至垃圾场处理处置，严禁任意抛洒、任意掩埋。</w:t>
            </w:r>
          </w:p>
          <w:p>
            <w:pPr>
              <w:spacing w:line="360" w:lineRule="auto"/>
              <w:ind w:firstLine="480" w:firstLineChars="200"/>
              <w:rPr>
                <w:kern w:val="0"/>
                <w:lang w:bidi="ar"/>
              </w:rPr>
            </w:pPr>
            <w:r>
              <w:rPr>
                <w:kern w:val="0"/>
                <w:lang w:bidi="ar"/>
              </w:rPr>
              <w:t>项目施工期机械设备、车辆定期定点检修，不在施工现场更换机油，施工过程不产生废机油。</w:t>
            </w:r>
          </w:p>
          <w:p>
            <w:pPr>
              <w:adjustRightInd w:val="0"/>
              <w:snapToGrid w:val="0"/>
              <w:spacing w:line="360" w:lineRule="auto"/>
              <w:ind w:firstLine="482" w:firstLineChars="200"/>
              <w:rPr>
                <w:b/>
              </w:rPr>
            </w:pPr>
            <w:r>
              <w:rPr>
                <w:b/>
                <w:lang w:bidi="ar"/>
              </w:rPr>
              <w:t>（5）生态环境影响分析</w:t>
            </w:r>
          </w:p>
          <w:p>
            <w:pPr>
              <w:spacing w:line="360" w:lineRule="auto"/>
              <w:ind w:firstLine="480" w:firstLineChars="200"/>
              <w:contextualSpacing/>
            </w:pPr>
            <w:r>
              <w:t>施工期的生态影响，一是因占地而减少了可利用的土地资源；二是施工活动对地表的扰动，在一定程度上破坏表土原有的稳定性；三是占地破坏一定的地表植被，使评价区内的生物量减少。</w:t>
            </w:r>
          </w:p>
          <w:p>
            <w:pPr>
              <w:adjustRightInd w:val="0"/>
              <w:snapToGrid w:val="0"/>
              <w:spacing w:line="360" w:lineRule="auto"/>
              <w:ind w:firstLine="482" w:firstLineChars="200"/>
              <w:rPr>
                <w:b/>
                <w:lang w:bidi="ar"/>
              </w:rPr>
            </w:pPr>
            <w:r>
              <w:rPr>
                <w:b/>
                <w:lang w:bidi="ar"/>
              </w:rPr>
              <w:t>1）对植被的影响分析</w:t>
            </w:r>
          </w:p>
          <w:p>
            <w:pPr>
              <w:autoSpaceDE w:val="0"/>
              <w:autoSpaceDN w:val="0"/>
              <w:spacing w:line="360" w:lineRule="auto"/>
              <w:ind w:firstLine="480" w:firstLineChars="200"/>
              <w:textAlignment w:val="baseline"/>
              <w:rPr>
                <w:bCs/>
                <w:kern w:val="0"/>
              </w:rPr>
            </w:pPr>
            <w:r>
              <w:rPr>
                <w:bCs/>
                <w:kern w:val="0"/>
              </w:rPr>
              <w:t>① 对植被影响</w:t>
            </w:r>
          </w:p>
          <w:p>
            <w:pPr>
              <w:autoSpaceDE w:val="0"/>
              <w:autoSpaceDN w:val="0"/>
              <w:spacing w:line="360" w:lineRule="auto"/>
              <w:ind w:firstLine="480" w:firstLineChars="200"/>
              <w:textAlignment w:val="baseline"/>
              <w:rPr>
                <w:bCs/>
                <w:lang w:bidi="ar"/>
              </w:rPr>
            </w:pPr>
            <w:r>
              <w:rPr>
                <w:bCs/>
                <w:kern w:val="0"/>
              </w:rPr>
              <w:t>施工作业带、建材堆放点、土方堆放点等临时性占地将导致局部区域植被受到破坏，</w:t>
            </w:r>
            <w:r>
              <w:rPr>
                <w:bCs/>
                <w:lang w:bidi="ar"/>
              </w:rPr>
              <w:t>在施工过程中，土方开挖扰动范围内植物的地上部分与根系均被清除，</w:t>
            </w:r>
            <w:r>
              <w:rPr>
                <w:bCs/>
                <w:kern w:val="0"/>
              </w:rPr>
              <w:t>使区域内植被覆盖率降低。</w:t>
            </w:r>
            <w:r>
              <w:rPr>
                <w:bCs/>
                <w:lang w:bidi="ar"/>
              </w:rPr>
              <w:t>施工带两侧的植被由于挖掘土方的堆放、人员的践踏、施工车辆和机具的碾压而受到不同程度的破坏，会造成地上部分破坏甚至死亡。</w:t>
            </w:r>
          </w:p>
          <w:p>
            <w:pPr>
              <w:spacing w:line="360" w:lineRule="auto"/>
              <w:ind w:firstLine="480" w:firstLineChars="200"/>
              <w:contextualSpacing/>
              <w:rPr>
                <w:bCs/>
                <w:kern w:val="0"/>
              </w:rPr>
            </w:pPr>
            <w:r>
              <w:rPr>
                <w:bCs/>
                <w:kern w:val="0"/>
              </w:rPr>
              <w:t>② 生物损失量计算</w:t>
            </w:r>
          </w:p>
          <w:p>
            <w:pPr>
              <w:autoSpaceDE w:val="0"/>
              <w:autoSpaceDN w:val="0"/>
              <w:spacing w:line="360" w:lineRule="auto"/>
              <w:ind w:firstLine="480" w:firstLineChars="200"/>
              <w:textAlignment w:val="baseline"/>
              <w:rPr>
                <w:bCs/>
                <w:kern w:val="21"/>
                <w:lang w:bidi="ar"/>
              </w:rPr>
            </w:pPr>
            <w:r>
              <w:rPr>
                <w:bCs/>
                <w:kern w:val="21"/>
              </w:rPr>
              <w:t>项目施工扰动面积为2.3698hm</w:t>
            </w:r>
            <w:r>
              <w:rPr>
                <w:bCs/>
                <w:kern w:val="21"/>
                <w:vertAlign w:val="superscript"/>
              </w:rPr>
              <w:t>2</w:t>
            </w:r>
            <w:r>
              <w:rPr>
                <w:bCs/>
                <w:kern w:val="21"/>
              </w:rPr>
              <w:t>，扰动范围用地类型为</w:t>
            </w:r>
            <w:r>
              <w:rPr>
                <w:bCs/>
                <w:kern w:val="21"/>
                <w:lang w:bidi="ar"/>
              </w:rPr>
              <w:t>戈壁和平原占地</w:t>
            </w:r>
            <w:r>
              <w:rPr>
                <w:bCs/>
                <w:kern w:val="21"/>
              </w:rPr>
              <w:t>，</w:t>
            </w:r>
            <w:r>
              <w:rPr>
                <w:bCs/>
                <w:kern w:val="21"/>
                <w:lang w:bidi="ar"/>
              </w:rPr>
              <w:t>根据施工区域生态环境现状调查，项目管道线路临时占地主要为戈壁和平原占地，未见农作物，其植被覆盖率一般。对植被生物量进行估算，见表4-4。</w:t>
            </w:r>
          </w:p>
          <w:p>
            <w:pPr>
              <w:autoSpaceDE w:val="0"/>
              <w:autoSpaceDN w:val="0"/>
              <w:ind w:firstLine="422" w:firstLineChars="200"/>
              <w:jc w:val="center"/>
              <w:textAlignment w:val="baseline"/>
              <w:rPr>
                <w:b/>
                <w:lang w:bidi="ar"/>
              </w:rPr>
            </w:pPr>
            <w:r>
              <w:rPr>
                <w:b/>
                <w:sz w:val="21"/>
                <w:szCs w:val="21"/>
                <w:lang w:bidi="ar"/>
              </w:rPr>
              <w:t>表4-4      项目占地植被生物量损失估算表</w:t>
            </w:r>
          </w:p>
          <w:tbl>
            <w:tblPr>
              <w:tblStyle w:val="4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73"/>
              <w:gridCol w:w="1613"/>
              <w:gridCol w:w="2101"/>
              <w:gridCol w:w="22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1145" w:type="pct"/>
                  <w:vAlign w:val="center"/>
                </w:tcPr>
                <w:p>
                  <w:pPr>
                    <w:autoSpaceDE w:val="0"/>
                    <w:autoSpaceDN w:val="0"/>
                    <w:jc w:val="center"/>
                    <w:textAlignment w:val="baseline"/>
                    <w:rPr>
                      <w:bCs/>
                      <w:kern w:val="21"/>
                      <w:sz w:val="21"/>
                      <w:szCs w:val="21"/>
                    </w:rPr>
                  </w:pPr>
                  <w:r>
                    <w:rPr>
                      <w:rFonts w:hint="eastAsia"/>
                      <w:bCs/>
                      <w:kern w:val="21"/>
                      <w:sz w:val="21"/>
                      <w:szCs w:val="21"/>
                      <w:lang w:eastAsia="zh-CN"/>
                    </w:rPr>
                    <w:t>土地类型</w:t>
                  </w:r>
                </w:p>
              </w:tc>
              <w:tc>
                <w:tcPr>
                  <w:tcW w:w="1041" w:type="pct"/>
                  <w:vAlign w:val="center"/>
                </w:tcPr>
                <w:p>
                  <w:pPr>
                    <w:pStyle w:val="46"/>
                    <w:jc w:val="center"/>
                    <w:rPr>
                      <w:rFonts w:ascii="Times New Roman" w:hAnsi="Times New Roman" w:eastAsia="宋体" w:cs="Times New Roman"/>
                      <w:bCs/>
                      <w:kern w:val="21"/>
                    </w:rPr>
                  </w:pPr>
                  <w:r>
                    <w:rPr>
                      <w:rFonts w:ascii="Times New Roman" w:hAnsi="Times New Roman" w:eastAsia="宋体" w:cs="Times New Roman"/>
                      <w:bCs/>
                      <w:kern w:val="21"/>
                      <w:lang w:eastAsia="zh-CN"/>
                    </w:rPr>
                    <w:t>扰动</w:t>
                  </w:r>
                  <w:r>
                    <w:rPr>
                      <w:rFonts w:ascii="Times New Roman" w:hAnsi="Times New Roman" w:eastAsia="宋体" w:cs="Times New Roman"/>
                      <w:bCs/>
                      <w:kern w:val="21"/>
                    </w:rPr>
                    <w:t>面积(hm²)</w:t>
                  </w:r>
                </w:p>
              </w:tc>
              <w:tc>
                <w:tcPr>
                  <w:tcW w:w="1355" w:type="pct"/>
                  <w:vAlign w:val="center"/>
                </w:tcPr>
                <w:p>
                  <w:pPr>
                    <w:pStyle w:val="46"/>
                    <w:jc w:val="center"/>
                    <w:rPr>
                      <w:rFonts w:ascii="Times New Roman" w:hAnsi="Times New Roman" w:eastAsia="宋体" w:cs="Times New Roman"/>
                      <w:bCs/>
                      <w:kern w:val="21"/>
                    </w:rPr>
                  </w:pPr>
                  <w:r>
                    <w:rPr>
                      <w:rFonts w:ascii="Times New Roman" w:hAnsi="Times New Roman" w:eastAsia="宋体" w:cs="Times New Roman"/>
                      <w:bCs/>
                      <w:kern w:val="21"/>
                    </w:rPr>
                    <w:t>平均生物量(t/hm²)</w:t>
                  </w:r>
                </w:p>
              </w:tc>
              <w:tc>
                <w:tcPr>
                  <w:tcW w:w="1457" w:type="pct"/>
                  <w:vAlign w:val="center"/>
                </w:tcPr>
                <w:p>
                  <w:pPr>
                    <w:pStyle w:val="46"/>
                    <w:jc w:val="center"/>
                    <w:rPr>
                      <w:rFonts w:ascii="Times New Roman" w:hAnsi="Times New Roman" w:eastAsia="宋体" w:cs="Times New Roman"/>
                      <w:bCs/>
                      <w:kern w:val="21"/>
                      <w:lang w:eastAsia="zh-CN"/>
                    </w:rPr>
                  </w:pPr>
                  <w:r>
                    <w:rPr>
                      <w:rFonts w:ascii="Times New Roman" w:hAnsi="Times New Roman" w:eastAsia="宋体" w:cs="Times New Roman"/>
                      <w:bCs/>
                      <w:kern w:val="21"/>
                      <w:lang w:eastAsia="zh-CN"/>
                    </w:rPr>
                    <w:t>工程实施生物损失量(t)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1145" w:type="pct"/>
                  <w:vAlign w:val="center"/>
                </w:tcPr>
                <w:p>
                  <w:pPr>
                    <w:autoSpaceDE w:val="0"/>
                    <w:autoSpaceDN w:val="0"/>
                    <w:jc w:val="center"/>
                    <w:textAlignment w:val="baseline"/>
                    <w:rPr>
                      <w:bCs/>
                      <w:kern w:val="21"/>
                      <w:sz w:val="21"/>
                      <w:szCs w:val="21"/>
                    </w:rPr>
                  </w:pPr>
                  <w:r>
                    <w:rPr>
                      <w:bCs/>
                      <w:kern w:val="21"/>
                      <w:sz w:val="21"/>
                      <w:szCs w:val="21"/>
                    </w:rPr>
                    <w:t>戈壁、平原旱地</w:t>
                  </w:r>
                </w:p>
              </w:tc>
              <w:tc>
                <w:tcPr>
                  <w:tcW w:w="1041" w:type="pct"/>
                  <w:vAlign w:val="center"/>
                </w:tcPr>
                <w:p>
                  <w:pPr>
                    <w:pStyle w:val="46"/>
                    <w:jc w:val="center"/>
                    <w:rPr>
                      <w:rFonts w:ascii="Times New Roman" w:hAnsi="Times New Roman" w:eastAsia="宋体" w:cs="Times New Roman"/>
                      <w:bCs/>
                      <w:kern w:val="21"/>
                      <w:lang w:eastAsia="zh-CN"/>
                    </w:rPr>
                  </w:pPr>
                  <w:r>
                    <w:rPr>
                      <w:rFonts w:ascii="Times New Roman" w:hAnsi="Times New Roman" w:eastAsia="宋体" w:cs="Times New Roman"/>
                      <w:bCs/>
                      <w:kern w:val="21"/>
                      <w:lang w:eastAsia="zh-CN"/>
                    </w:rPr>
                    <w:t>2.3698</w:t>
                  </w:r>
                </w:p>
              </w:tc>
              <w:tc>
                <w:tcPr>
                  <w:tcW w:w="1355" w:type="pct"/>
                  <w:vAlign w:val="center"/>
                </w:tcPr>
                <w:p>
                  <w:pPr>
                    <w:pStyle w:val="46"/>
                    <w:jc w:val="center"/>
                    <w:rPr>
                      <w:rFonts w:ascii="Times New Roman" w:hAnsi="Times New Roman" w:eastAsia="宋体" w:cs="Times New Roman"/>
                      <w:bCs/>
                      <w:kern w:val="21"/>
                      <w:lang w:eastAsia="zh-CN"/>
                    </w:rPr>
                  </w:pPr>
                  <w:r>
                    <w:rPr>
                      <w:rFonts w:ascii="Times New Roman" w:hAnsi="Times New Roman" w:eastAsia="宋体" w:cs="Times New Roman"/>
                      <w:shd w:val="clear" w:color="auto" w:fill="FFFFFF"/>
                      <w:lang w:eastAsia="zh-CN"/>
                    </w:rPr>
                    <w:t>4.7833</w:t>
                  </w:r>
                </w:p>
              </w:tc>
              <w:tc>
                <w:tcPr>
                  <w:tcW w:w="1457" w:type="pct"/>
                  <w:vAlign w:val="center"/>
                </w:tcPr>
                <w:p>
                  <w:pPr>
                    <w:pStyle w:val="46"/>
                    <w:jc w:val="center"/>
                    <w:rPr>
                      <w:rFonts w:ascii="Times New Roman" w:hAnsi="Times New Roman" w:eastAsia="宋体" w:cs="Times New Roman"/>
                      <w:bCs/>
                      <w:kern w:val="21"/>
                      <w:lang w:eastAsia="zh-CN"/>
                    </w:rPr>
                  </w:pPr>
                  <w:r>
                    <w:rPr>
                      <w:rFonts w:ascii="Times New Roman" w:hAnsi="Times New Roman" w:eastAsia="宋体" w:cs="Times New Roman"/>
                      <w:bCs/>
                      <w:kern w:val="21"/>
                      <w:lang w:eastAsia="zh-CN"/>
                    </w:rPr>
                    <w:t>11.335</w:t>
                  </w:r>
                </w:p>
              </w:tc>
            </w:tr>
          </w:tbl>
          <w:p>
            <w:pPr>
              <w:autoSpaceDE w:val="0"/>
              <w:autoSpaceDN w:val="0"/>
              <w:spacing w:before="120" w:beforeLines="50" w:line="360" w:lineRule="auto"/>
              <w:ind w:firstLine="480" w:firstLineChars="200"/>
              <w:textAlignment w:val="baseline"/>
              <w:rPr>
                <w:bCs/>
                <w:kern w:val="0"/>
              </w:rPr>
            </w:pPr>
            <w:r>
              <w:rPr>
                <w:bCs/>
                <w:kern w:val="0"/>
              </w:rPr>
              <w:t>按照临时工程所经地区的土壤、气候等自然条件分析，施工结束后，周围植物渐次侵入，开始进入恢复过程。项目区以天然植被恢复为主，撒播草籽降水等促进植被恢复为辅，1~2年可以恢复草本植被，2~3年恢复灌木植被项目施工对陆生植物的影响是暂时性和有限性的。</w:t>
            </w:r>
          </w:p>
          <w:p>
            <w:pPr>
              <w:autoSpaceDE w:val="0"/>
              <w:autoSpaceDN w:val="0"/>
              <w:spacing w:line="360" w:lineRule="auto"/>
              <w:ind w:firstLine="480" w:firstLineChars="200"/>
              <w:textAlignment w:val="baseline"/>
              <w:rPr>
                <w:szCs w:val="21"/>
              </w:rPr>
            </w:pPr>
            <w:r>
              <w:rPr>
                <w:bCs/>
                <w:kern w:val="0"/>
              </w:rPr>
              <w:t>综上所述，项目建设不会对项目区植物种类的生存和繁衍造成严重影响，不会使评价区植物群落发生变化，也不会造成某一植物物种的消失。施工结束后，通过人工方式及时恢复项目区地表原有形态和土地原有使用功能，可将施工期对项目区及附近植被的影响控制在很小的范围内，总损失不大。</w:t>
            </w:r>
          </w:p>
          <w:p>
            <w:pPr>
              <w:adjustRightInd w:val="0"/>
              <w:snapToGrid w:val="0"/>
              <w:spacing w:line="360" w:lineRule="auto"/>
              <w:ind w:firstLine="482" w:firstLineChars="200"/>
              <w:rPr>
                <w:b/>
                <w:lang w:bidi="ar"/>
              </w:rPr>
            </w:pPr>
            <w:r>
              <w:rPr>
                <w:b/>
                <w:lang w:bidi="ar"/>
              </w:rPr>
              <w:t>2）对陆生生物多样性的影响</w:t>
            </w:r>
          </w:p>
          <w:p>
            <w:pPr>
              <w:autoSpaceDE w:val="0"/>
              <w:autoSpaceDN w:val="0"/>
              <w:spacing w:line="360" w:lineRule="auto"/>
              <w:ind w:firstLine="480" w:firstLineChars="200"/>
              <w:textAlignment w:val="baseline"/>
              <w:rPr>
                <w:bCs/>
                <w:kern w:val="0"/>
              </w:rPr>
            </w:pPr>
            <w:r>
              <w:rPr>
                <w:bCs/>
                <w:kern w:val="0"/>
              </w:rPr>
              <w:t>本项目的建设将导致施工区域部分植被受到破坏，植物量下降，使区域植物总量减少，施工机械、运输车辆以及人群往来所产生的各种噪声，对生活在周围区域的动物会产生不利影响，部分动物因失去栖息场所和噪声干扰而向远离施工区的方向迁移，从而使施工区周围地带动物数量减少。</w:t>
            </w:r>
          </w:p>
          <w:p>
            <w:pPr>
              <w:spacing w:line="360" w:lineRule="auto"/>
              <w:ind w:firstLine="480" w:firstLineChars="200"/>
              <w:contextualSpacing/>
              <w:rPr>
                <w:szCs w:val="21"/>
              </w:rPr>
            </w:pPr>
            <w:r>
              <w:rPr>
                <w:bCs/>
                <w:kern w:val="0"/>
              </w:rPr>
              <w:t>由于本项目区不属于生态环境敏感区，无珍稀濒危动植物存在，施工期受到破坏的植被以及受到影响的动物均为本地区常见物种，因此本项目的施工建设对本地区动植物物种的多样性影响不大。</w:t>
            </w:r>
          </w:p>
          <w:p>
            <w:pPr>
              <w:adjustRightInd w:val="0"/>
              <w:snapToGrid w:val="0"/>
              <w:spacing w:line="360" w:lineRule="auto"/>
              <w:ind w:firstLine="482" w:firstLineChars="200"/>
              <w:rPr>
                <w:b/>
                <w:lang w:bidi="ar"/>
              </w:rPr>
            </w:pPr>
            <w:r>
              <w:rPr>
                <w:b/>
                <w:lang w:bidi="ar"/>
              </w:rPr>
              <w:t>3）对景观的影响</w:t>
            </w:r>
          </w:p>
          <w:p>
            <w:pPr>
              <w:spacing w:line="360" w:lineRule="auto"/>
              <w:ind w:firstLine="480" w:firstLineChars="200"/>
              <w:contextualSpacing/>
            </w:pPr>
            <w:r>
              <w:rPr>
                <w:bCs/>
                <w:kern w:val="0"/>
              </w:rPr>
              <w:t>本项目施工覆盖范围较大，管道工程施工过程中，由于管沟开挖和土方堆置会使施工区显得较为杂乱。在土建作业过程中和运输车辆行驶过程中产生的扬尘也会给周围景观产生不良影响。为减缓施工对景观的影响，在整个施工期应制订细致的施工计划，施工现场应做到建筑材料、废弃物有序放置，不乱堆乱放。在施工结束并采取恢复措施后，景观影响将随之消失。</w:t>
            </w:r>
          </w:p>
          <w:p>
            <w:pPr>
              <w:adjustRightInd w:val="0"/>
              <w:snapToGrid w:val="0"/>
              <w:spacing w:line="360" w:lineRule="auto"/>
              <w:ind w:firstLine="482" w:firstLineChars="200"/>
              <w:rPr>
                <w:b/>
                <w:lang w:bidi="ar"/>
              </w:rPr>
            </w:pPr>
            <w:r>
              <w:rPr>
                <w:b/>
                <w:lang w:bidi="ar"/>
              </w:rPr>
              <w:t>4）对土壤环境的影响</w:t>
            </w:r>
          </w:p>
          <w:p>
            <w:pPr>
              <w:autoSpaceDE w:val="0"/>
              <w:autoSpaceDN w:val="0"/>
              <w:spacing w:line="360" w:lineRule="auto"/>
              <w:ind w:firstLine="480" w:firstLineChars="200"/>
              <w:textAlignment w:val="baseline"/>
              <w:rPr>
                <w:kern w:val="0"/>
              </w:rPr>
            </w:pPr>
            <w:r>
              <w:rPr>
                <w:kern w:val="0"/>
              </w:rPr>
              <w:t>管道施工方法为沟埋式，对土壤进行开挖和填埋，它对土壤环境的影响表现在：</w:t>
            </w:r>
          </w:p>
          <w:p>
            <w:pPr>
              <w:autoSpaceDE w:val="0"/>
              <w:autoSpaceDN w:val="0"/>
              <w:spacing w:line="360" w:lineRule="auto"/>
              <w:ind w:firstLine="480" w:firstLineChars="200"/>
              <w:textAlignment w:val="baseline"/>
              <w:rPr>
                <w:kern w:val="0"/>
              </w:rPr>
            </w:pPr>
            <w:r>
              <w:rPr>
                <w:kern w:val="0"/>
              </w:rPr>
              <w:t>① 破坏土壤结构</w:t>
            </w:r>
          </w:p>
          <w:p>
            <w:pPr>
              <w:autoSpaceDE w:val="0"/>
              <w:autoSpaceDN w:val="0"/>
              <w:spacing w:line="360" w:lineRule="auto"/>
              <w:ind w:firstLine="480" w:firstLineChars="200"/>
              <w:textAlignment w:val="baseline"/>
              <w:rPr>
                <w:kern w:val="0"/>
              </w:rPr>
            </w:pPr>
            <w:r>
              <w:rPr>
                <w:kern w:val="0"/>
              </w:rPr>
              <w:t>土壤结构的形成需要漫长的时间，土壤结构是土壤质量好坏的重要指标，特别是团粒结构是土壤质量的重要指标，团粒结构占的比重越高，表示土壤质量越好，团粒结构一旦被破坏，恢复需要较长时间，而且比较困难。施工过程中对土地的开挖和填埋，容易破坏团粒结构，干扰团粒结构的自然形成过程。施工过程中的机械碾压、人员践踏等活动都会对土壤结构产生不良影响。</w:t>
            </w:r>
          </w:p>
          <w:p>
            <w:pPr>
              <w:autoSpaceDE w:val="0"/>
              <w:autoSpaceDN w:val="0"/>
              <w:spacing w:line="360" w:lineRule="auto"/>
              <w:ind w:firstLine="480" w:firstLineChars="200"/>
              <w:textAlignment w:val="baseline"/>
              <w:rPr>
                <w:kern w:val="0"/>
              </w:rPr>
            </w:pPr>
            <w:r>
              <w:rPr>
                <w:kern w:val="0"/>
              </w:rPr>
              <w:t>② 破坏土壤层次，改变土壤质地</w:t>
            </w:r>
          </w:p>
          <w:p>
            <w:pPr>
              <w:autoSpaceDE w:val="0"/>
              <w:autoSpaceDN w:val="0"/>
              <w:spacing w:line="360" w:lineRule="auto"/>
              <w:ind w:firstLine="480" w:firstLineChars="200"/>
              <w:textAlignment w:val="baseline"/>
              <w:rPr>
                <w:kern w:val="0"/>
              </w:rPr>
            </w:pPr>
            <w:r>
              <w:rPr>
                <w:kern w:val="0"/>
              </w:rPr>
              <w:t>土壤在形成过程中具有一定的分层特性。管道开挖和回填过程中，必然会对土壤原有层次产生扰动和破坏，使不同层次、不同质地的土体产生混合，特别是土壤被混合后，直接影响地表植被生长。</w:t>
            </w:r>
          </w:p>
          <w:p>
            <w:pPr>
              <w:autoSpaceDE w:val="0"/>
              <w:autoSpaceDN w:val="0"/>
              <w:spacing w:line="360" w:lineRule="auto"/>
              <w:ind w:firstLine="480" w:firstLineChars="200"/>
              <w:textAlignment w:val="baseline"/>
              <w:rPr>
                <w:kern w:val="0"/>
              </w:rPr>
            </w:pPr>
            <w:r>
              <w:rPr>
                <w:kern w:val="0"/>
              </w:rPr>
              <w:t>③ 影响土壤的紧实度</w:t>
            </w:r>
          </w:p>
          <w:p>
            <w:pPr>
              <w:autoSpaceDE w:val="0"/>
              <w:autoSpaceDN w:val="0"/>
              <w:spacing w:line="360" w:lineRule="auto"/>
              <w:ind w:firstLine="480" w:firstLineChars="200"/>
              <w:textAlignment w:val="baseline"/>
              <w:rPr>
                <w:kern w:val="0"/>
              </w:rPr>
            </w:pPr>
            <w:r>
              <w:rPr>
                <w:kern w:val="0"/>
              </w:rPr>
              <w:t>在施工机械作业中，机械设备的碾压、施工人员的践踏使土壤紧实度增高，影响地表水的入渗，土体过于紧实不利于植物的生长。</w:t>
            </w:r>
          </w:p>
          <w:p>
            <w:pPr>
              <w:autoSpaceDE w:val="0"/>
              <w:autoSpaceDN w:val="0"/>
              <w:spacing w:line="360" w:lineRule="auto"/>
              <w:ind w:firstLine="480" w:firstLineChars="200"/>
              <w:textAlignment w:val="baseline"/>
              <w:rPr>
                <w:kern w:val="0"/>
              </w:rPr>
            </w:pPr>
            <w:r>
              <w:rPr>
                <w:kern w:val="0"/>
              </w:rPr>
              <w:t>④ 土壤养分流失</w:t>
            </w:r>
          </w:p>
          <w:p>
            <w:pPr>
              <w:autoSpaceDE w:val="0"/>
              <w:autoSpaceDN w:val="0"/>
              <w:spacing w:line="360" w:lineRule="auto"/>
              <w:ind w:firstLine="480" w:firstLineChars="200"/>
              <w:textAlignment w:val="baseline"/>
              <w:rPr>
                <w:kern w:val="0"/>
              </w:rPr>
            </w:pPr>
            <w:r>
              <w:rPr>
                <w:kern w:val="0"/>
              </w:rPr>
              <w:t>在土壤刨面各个土层中，就养分状况而言，表土层（腐殖质层、耕作层）有机质、全氮、全磷均较其他层次高。施工作业对原有的土体构型产生扰动，使土壤性质发生变化，土壤养分状况受到影响，从而影响植物的生长。</w:t>
            </w:r>
          </w:p>
          <w:p>
            <w:pPr>
              <w:autoSpaceDE w:val="0"/>
              <w:autoSpaceDN w:val="0"/>
              <w:spacing w:line="360" w:lineRule="auto"/>
              <w:ind w:firstLine="480" w:firstLineChars="200"/>
              <w:textAlignment w:val="baseline"/>
              <w:rPr>
                <w:kern w:val="0"/>
              </w:rPr>
            </w:pPr>
            <w:r>
              <w:rPr>
                <w:kern w:val="0"/>
              </w:rPr>
              <w:t>⑤ 对土壤生物的影响</w:t>
            </w:r>
          </w:p>
          <w:p>
            <w:pPr>
              <w:autoSpaceDE w:val="0"/>
              <w:autoSpaceDN w:val="0"/>
              <w:spacing w:line="360" w:lineRule="auto"/>
              <w:ind w:firstLine="480" w:firstLineChars="200"/>
              <w:textAlignment w:val="baseline"/>
              <w:rPr>
                <w:kern w:val="0"/>
              </w:rPr>
            </w:pPr>
            <w:r>
              <w:rPr>
                <w:kern w:val="0"/>
              </w:rPr>
              <w:t>由于土壤理化性质和土体构型的改变，使土壤中的微生物、原生动物及其它节肢动物、环节动物、软体动物的栖息环境改变。由于本施工区无珍稀土壤生物，且施工带影响</w:t>
            </w:r>
            <w:r>
              <w:rPr>
                <w:rFonts w:hint="eastAsia"/>
                <w:kern w:val="0"/>
                <w:lang w:eastAsia="zh-CN"/>
              </w:rPr>
              <w:t>宽度</w:t>
            </w:r>
            <w:r>
              <w:rPr>
                <w:kern w:val="0"/>
              </w:rPr>
              <w:t>范围为2~4m，所以土壤生物的生态平衡很快会恢复。</w:t>
            </w:r>
          </w:p>
          <w:p>
            <w:pPr>
              <w:spacing w:line="360" w:lineRule="auto"/>
              <w:ind w:firstLine="480" w:firstLineChars="200"/>
              <w:contextualSpacing/>
            </w:pPr>
            <w:r>
              <w:rPr>
                <w:kern w:val="0"/>
              </w:rPr>
              <w:t>本项目供水管道及管道附属设施的建设会对原有土壤造成一定的破坏，但通过采取地表恢复、绿化等措施，外加土壤的自净能力，一段时间后项目对土壤环境的破坏会得以恢复，所以管线的施工对土壤环境的破坏也不大。</w:t>
            </w:r>
          </w:p>
          <w:p>
            <w:pPr>
              <w:widowControl/>
              <w:spacing w:line="360" w:lineRule="auto"/>
              <w:ind w:firstLine="482" w:firstLineChars="200"/>
              <w:rPr>
                <w:b/>
                <w:bCs/>
                <w:color w:val="FF0000"/>
                <w:kern w:val="0"/>
                <w:lang w:bidi="ar"/>
              </w:rPr>
            </w:pPr>
            <w:r>
              <w:rPr>
                <w:b/>
                <w:bCs/>
                <w:color w:val="FF0000"/>
                <w:kern w:val="0"/>
                <w:lang w:bidi="ar"/>
              </w:rPr>
              <w:t>5）水土流失影响分析</w:t>
            </w:r>
          </w:p>
          <w:p>
            <w:pPr>
              <w:widowControl/>
              <w:spacing w:line="360" w:lineRule="auto"/>
              <w:ind w:firstLine="480" w:firstLineChars="200"/>
              <w:rPr>
                <w:color w:val="FF0000"/>
                <w:kern w:val="0"/>
                <w:lang w:bidi="ar"/>
              </w:rPr>
            </w:pPr>
            <w:r>
              <w:rPr>
                <w:color w:val="FF0000"/>
                <w:kern w:val="0"/>
                <w:lang w:bidi="ar"/>
              </w:rPr>
              <w:t>建设项目对水土流失的影响主要有两方面：一是在施工期，由于地表原有植被受到一定程度的破坏，地表的裸露以及土体结构的改变，使施工沿线附近土壤的可蚀性指数上升，为风沙的形成、运移及土壤水蚀和重力侵蚀创造了条件，水土流失会有所增加。二是不能回填的挖方处置不当，使可冲刷地表面积增加，水土流失也可能加剧。该项目评价范围内属于平原地区，土壤流失强度不大，工程可能造成的水土流失主要是开挖土方。</w:t>
            </w:r>
          </w:p>
          <w:p>
            <w:pPr>
              <w:widowControl/>
              <w:spacing w:line="360" w:lineRule="auto"/>
              <w:ind w:firstLine="480" w:firstLineChars="200"/>
              <w:rPr>
                <w:color w:val="FF0000"/>
                <w:kern w:val="0"/>
                <w:lang w:bidi="ar"/>
              </w:rPr>
            </w:pPr>
            <w:r>
              <w:rPr>
                <w:color w:val="FF0000"/>
                <w:kern w:val="0"/>
                <w:lang w:bidi="ar"/>
              </w:rPr>
              <w:t>拟建项目没有大量的裸露土壤开挖面，工程施工时注意合理分配施工时段，避开降雨集中时段（7、8月），开挖的土石方、开挖裸露面做好防治措施，尽量缩短暴露时间，开挖的土石方在及时回填、不能回填的挖方及时进行合理处置，统一进行土地平整之前做好覆盖措施，防止水土流失。施工阶段造成的水土流失影响不大，另外对现场施工人员要加强环保意识，不随意扩大施工范围，保护一草一木，这样才能最大限度降低对当地生态环境的影响。</w:t>
            </w:r>
          </w:p>
          <w:p>
            <w:pPr>
              <w:spacing w:line="360" w:lineRule="auto"/>
              <w:ind w:firstLine="482" w:firstLineChars="200"/>
              <w:rPr>
                <w:b/>
              </w:rPr>
            </w:pPr>
            <w:r>
              <w:rPr>
                <w:b/>
                <w:lang w:bidi="ar"/>
              </w:rPr>
              <w:t>6）施工期环境风险影响分析</w:t>
            </w:r>
          </w:p>
          <w:p>
            <w:pPr>
              <w:spacing w:line="360" w:lineRule="auto"/>
              <w:ind w:firstLine="480" w:firstLineChars="200"/>
              <w:rPr>
                <w:bCs/>
              </w:rPr>
            </w:pPr>
            <w:r>
              <w:rPr>
                <w:bCs/>
                <w:lang w:bidi="ar"/>
              </w:rPr>
              <w:t>根据建设单位提供资料及设计方案，本工程施工期柴油发电机与施工机械设备所用柴油由供应商定期拉运供应，不在本工程施工场地贮存。另外项目其他施工材料不涉及《建设项目环境风险评价技术导则》（HJ169-2018）附录B中所列危险物质，施工期环境风险较小。</w:t>
            </w:r>
          </w:p>
          <w:p>
            <w:pPr>
              <w:spacing w:line="360" w:lineRule="auto"/>
              <w:ind w:firstLine="480" w:firstLineChars="200"/>
              <w:rPr>
                <w:bCs/>
                <w:lang w:bidi="ar"/>
              </w:rPr>
            </w:pPr>
            <w:r>
              <w:rPr>
                <w:bCs/>
                <w:lang w:bidi="ar"/>
              </w:rPr>
              <w:t>本工程为天然气管道建设工程，大部分施工活动基本在设计路线范围内进行，对沿线产生一定的环境影响，但工程实施后能够方便喀什航空货运区的用气便捷，本项目除主线阀井、警示牌外，无其他永久用地，施工期结束后，对扰动的施工场地进行生态恢复，因此工程产生的效益远大于施工期产生的环境影响。</w:t>
            </w:r>
          </w:p>
          <w:p>
            <w:pPr>
              <w:spacing w:line="360" w:lineRule="auto"/>
              <w:ind w:firstLine="480" w:firstLineChars="200"/>
              <w:rPr>
                <w:bCs/>
                <w:lang w:bidi="ar"/>
              </w:rPr>
            </w:pPr>
            <w:r>
              <w:rPr>
                <w:bCs/>
                <w:lang w:bidi="ar"/>
              </w:rPr>
              <w:t>工程在施工过程中可能会对水质产生一定程度的影响。在施工过程中扰动水体和部分土料影响沿线的土壤,加之油料泄漏、保养冲洗产生的含油废水都会影响到沿线土壤。</w:t>
            </w:r>
          </w:p>
          <w:p>
            <w:pPr>
              <w:spacing w:line="360" w:lineRule="auto"/>
              <w:ind w:firstLine="480" w:firstLineChars="200"/>
              <w:rPr>
                <w:bCs/>
                <w:lang w:bidi="ar"/>
              </w:rPr>
            </w:pPr>
            <w:r>
              <w:rPr>
                <w:bCs/>
                <w:lang w:bidi="ar"/>
              </w:rPr>
              <w:t>为使管道建设工程在施工期间尽量减少对环境的污染,在工程施工期间，渗漏水、清洗水以及各种废水，沿线各施工系统修建废水沉淀池。</w:t>
            </w:r>
          </w:p>
          <w:p>
            <w:pPr>
              <w:spacing w:line="360" w:lineRule="auto"/>
              <w:rPr>
                <w:bCs/>
                <w:lang w:bidi="ar"/>
              </w:rPr>
            </w:pPr>
            <w:r>
              <w:rPr>
                <w:b/>
                <w:bCs/>
                <w:spacing w:val="7"/>
              </w:rPr>
              <w:t>2、航空货运区项目</w:t>
            </w:r>
          </w:p>
          <w:p>
            <w:pPr>
              <w:spacing w:line="360" w:lineRule="auto"/>
              <w:ind w:firstLine="480" w:firstLineChars="200"/>
              <w:rPr>
                <w:bCs/>
                <w:lang w:bidi="ar"/>
              </w:rPr>
            </w:pPr>
            <w:r>
              <w:rPr>
                <w:bCs/>
                <w:lang w:bidi="ar"/>
              </w:rPr>
              <w:t>项目建设施工期间，会产生扬尘、施工机械和运输车辆尾气、建筑施工废水、生活污水、建筑垃圾、生活垃圾、建材运输车辆的噪声以及临时占地等对环境造成一定的影响。</w:t>
            </w:r>
          </w:p>
          <w:p>
            <w:pPr>
              <w:spacing w:line="360" w:lineRule="auto"/>
              <w:ind w:firstLine="480" w:firstLineChars="200"/>
              <w:rPr>
                <w:bCs/>
                <w:lang w:bidi="ar"/>
              </w:rPr>
            </w:pPr>
            <w:r>
              <w:rPr>
                <w:bCs/>
                <w:lang w:bidi="ar"/>
              </w:rPr>
              <w:t>工程建设完成后，除部分永久性占地为持续性影响外，其余影响仅在施工期存在，并且影响范围小、时间短。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539" w:type="dxa"/>
            <w:tcMar>
              <w:left w:w="28" w:type="dxa"/>
              <w:right w:w="28" w:type="dxa"/>
            </w:tcMar>
            <w:vAlign w:val="center"/>
          </w:tcPr>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r>
              <w:rPr>
                <w:rFonts w:ascii="Times New Roman" w:hAnsi="Times New Roman"/>
                <w:bCs/>
                <w:spacing w:val="10"/>
                <w:kern w:val="2"/>
                <w:szCs w:val="24"/>
              </w:rPr>
              <w:t>运营期生态环境影响分析</w:t>
            </w: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spacing w:val="10"/>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tc>
        <w:tc>
          <w:tcPr>
            <w:tcW w:w="7965" w:type="dxa"/>
          </w:tcPr>
          <w:p>
            <w:pPr>
              <w:spacing w:before="120" w:beforeLines="50" w:line="360" w:lineRule="auto"/>
              <w:rPr>
                <w:b/>
                <w:bCs/>
                <w:lang w:bidi="ar"/>
              </w:rPr>
            </w:pPr>
            <w:r>
              <w:rPr>
                <w:b/>
                <w:bCs/>
              </w:rPr>
              <w:t>1、燃气管道建设项目</w:t>
            </w:r>
          </w:p>
          <w:p>
            <w:pPr>
              <w:widowControl/>
              <w:spacing w:line="360" w:lineRule="auto"/>
              <w:ind w:firstLine="480" w:firstLineChars="200"/>
            </w:pPr>
            <w:r>
              <w:t>本工程建成后，各施工点的施工人员、机械设备等均撤出现场，除永久占地外，其它区域均将进行植被恢复，工程区域内的植物能很快得到恢复，对自然生态系统不会造成不可逆的影响和破坏。由于工程水土保持措施的实施，植物的恢复对项目区生态系统体系会带来良好的影响，另一方面在工程区对施工临时设施等占地进行复草措施，对系统生产力的恢复和提高是非常有利的。</w:t>
            </w:r>
          </w:p>
          <w:p>
            <w:pPr>
              <w:widowControl/>
              <w:spacing w:line="360" w:lineRule="auto"/>
              <w:ind w:firstLine="480" w:firstLineChars="200"/>
              <w:rPr>
                <w:color w:val="FF0000"/>
              </w:rPr>
            </w:pPr>
            <w:r>
              <w:t>本工程为</w:t>
            </w:r>
            <w:r>
              <w:rPr>
                <w:bCs/>
                <w:lang w:bidi="ar"/>
              </w:rPr>
              <w:t>天然气管道建设</w:t>
            </w:r>
            <w:r>
              <w:t>工程，属于非污染类建设工程。运营期主要为管道、阀井的日常巡视检查，部分破损管道修葺恢复，该部分工作为偶发的，不可预见的，产生少量固体废物，对周围环境影响较小</w:t>
            </w:r>
            <w:r>
              <w:rPr>
                <w:rFonts w:hint="eastAsia"/>
                <w:lang w:eastAsia="zh-CN"/>
              </w:rPr>
              <w:t>，</w:t>
            </w:r>
            <w:r>
              <w:rPr>
                <w:color w:val="FF0000"/>
              </w:rPr>
              <w:t>运营期无废气、废水、噪声排放。</w:t>
            </w:r>
          </w:p>
          <w:p>
            <w:pPr>
              <w:spacing w:line="360" w:lineRule="auto"/>
              <w:rPr>
                <w:bCs/>
                <w:lang w:bidi="ar"/>
              </w:rPr>
            </w:pPr>
            <w:r>
              <w:rPr>
                <w:b/>
                <w:bCs/>
                <w:spacing w:val="7"/>
              </w:rPr>
              <w:t>2、航空货运区项目</w:t>
            </w:r>
          </w:p>
          <w:p>
            <w:pPr>
              <w:spacing w:line="360" w:lineRule="auto"/>
              <w:rPr>
                <w:b/>
                <w:bCs/>
                <w:spacing w:val="7"/>
              </w:rPr>
            </w:pPr>
            <w:r>
              <w:rPr>
                <w:b/>
                <w:bCs/>
                <w:spacing w:val="7"/>
              </w:rPr>
              <w:t>2.1 废气污染物排放情况</w:t>
            </w:r>
          </w:p>
          <w:p>
            <w:pPr>
              <w:widowControl/>
              <w:spacing w:line="360" w:lineRule="auto"/>
              <w:ind w:firstLine="480" w:firstLineChars="200"/>
            </w:pPr>
            <w:r>
              <w:rPr>
                <w:rFonts w:hint="eastAsia"/>
                <w:lang w:eastAsia="zh-CN"/>
              </w:rPr>
              <w:t>本项目</w:t>
            </w:r>
            <w:r>
              <w:t>生产过程中的主要为熏蒸气体、无害化处理恶臭及粉尘、</w:t>
            </w:r>
            <w:r>
              <w:rPr>
                <w:rFonts w:hint="eastAsia"/>
                <w:lang w:eastAsia="zh-CN"/>
              </w:rPr>
              <w:t>腐烂</w:t>
            </w:r>
            <w:r>
              <w:t>水果及肉类恶臭。废气污染物排放情况见下表。</w:t>
            </w:r>
          </w:p>
          <w:p>
            <w:pPr>
              <w:pStyle w:val="46"/>
              <w:jc w:val="center"/>
              <w:rPr>
                <w:rFonts w:ascii="Times New Roman" w:hAnsi="Times New Roman" w:eastAsia="宋体" w:cs="Times New Roman"/>
                <w:lang w:eastAsia="zh-CN"/>
              </w:rPr>
            </w:pPr>
            <w:r>
              <w:rPr>
                <w:rFonts w:ascii="Times New Roman" w:hAnsi="Times New Roman" w:eastAsia="宋体" w:cs="Times New Roman"/>
                <w:spacing w:val="6"/>
                <w:lang w:eastAsia="zh-CN"/>
                <w14:textOutline w14:w="3797" w14:cap="sq" w14:cmpd="sng" w14:algn="ctr">
                  <w14:solidFill>
                    <w14:srgbClr w14:val="000000"/>
                  </w14:solidFill>
                  <w14:prstDash w14:val="solid"/>
                  <w14:bevel/>
                </w14:textOutline>
              </w:rPr>
              <w:t>表</w:t>
            </w:r>
            <w:r>
              <w:rPr>
                <w:rFonts w:ascii="Times New Roman" w:hAnsi="Times New Roman" w:eastAsia="宋体" w:cs="Times New Roman"/>
                <w:b/>
                <w:bCs/>
                <w:spacing w:val="6"/>
                <w:lang w:eastAsia="zh-CN"/>
              </w:rPr>
              <w:t xml:space="preserve">4-5    </w:t>
            </w:r>
            <w:r>
              <w:rPr>
                <w:rFonts w:ascii="Times New Roman" w:hAnsi="Times New Roman" w:eastAsia="宋体" w:cs="Times New Roman"/>
                <w:spacing w:val="6"/>
                <w:lang w:eastAsia="zh-CN"/>
                <w14:textOutline w14:w="3797" w14:cap="sq" w14:cmpd="sng" w14:algn="ctr">
                  <w14:solidFill>
                    <w14:srgbClr w14:val="000000"/>
                  </w14:solidFill>
                  <w14:prstDash w14:val="solid"/>
                  <w14:bevel/>
                </w14:textOutline>
              </w:rPr>
              <w:t>废气污染物排放情况表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3"/>
              <w:gridCol w:w="502"/>
              <w:gridCol w:w="533"/>
              <w:gridCol w:w="1421"/>
              <w:gridCol w:w="1280"/>
              <w:gridCol w:w="1437"/>
              <w:gridCol w:w="215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tcBorders>
                    <w:tl2br w:val="nil"/>
                    <w:tr2bl w:val="nil"/>
                  </w:tcBorders>
                  <w:shd w:val="clear" w:color="auto" w:fill="auto"/>
                  <w:vAlign w:val="center"/>
                </w:tcPr>
                <w:p>
                  <w:pPr>
                    <w:jc w:val="center"/>
                    <w:rPr>
                      <w:sz w:val="21"/>
                      <w:szCs w:val="21"/>
                    </w:rPr>
                  </w:pPr>
                  <w:r>
                    <w:rPr>
                      <w:sz w:val="21"/>
                      <w:szCs w:val="21"/>
                    </w:rPr>
                    <w:t>排放源</w:t>
                  </w:r>
                </w:p>
              </w:tc>
              <w:tc>
                <w:tcPr>
                  <w:tcW w:w="668" w:type="pct"/>
                  <w:gridSpan w:val="2"/>
                  <w:tcBorders>
                    <w:tl2br w:val="nil"/>
                    <w:tr2bl w:val="nil"/>
                  </w:tcBorders>
                  <w:shd w:val="clear" w:color="auto" w:fill="auto"/>
                  <w:vAlign w:val="center"/>
                </w:tcPr>
                <w:p>
                  <w:pPr>
                    <w:jc w:val="center"/>
                    <w:rPr>
                      <w:sz w:val="21"/>
                      <w:szCs w:val="21"/>
                    </w:rPr>
                  </w:pPr>
                  <w:r>
                    <w:rPr>
                      <w:sz w:val="21"/>
                      <w:szCs w:val="21"/>
                    </w:rPr>
                    <w:t>污染物名称</w:t>
                  </w:r>
                </w:p>
              </w:tc>
              <w:tc>
                <w:tcPr>
                  <w:tcW w:w="916" w:type="pct"/>
                  <w:tcBorders>
                    <w:tl2br w:val="nil"/>
                    <w:tr2bl w:val="nil"/>
                  </w:tcBorders>
                  <w:shd w:val="clear" w:color="auto" w:fill="auto"/>
                  <w:vAlign w:val="center"/>
                </w:tcPr>
                <w:p>
                  <w:pPr>
                    <w:jc w:val="center"/>
                    <w:rPr>
                      <w:sz w:val="21"/>
                      <w:szCs w:val="21"/>
                    </w:rPr>
                  </w:pPr>
                  <w:r>
                    <w:rPr>
                      <w:sz w:val="21"/>
                      <w:szCs w:val="21"/>
                    </w:rPr>
                    <w:t>产生浓度及产生量</w:t>
                  </w:r>
                </w:p>
              </w:tc>
              <w:tc>
                <w:tcPr>
                  <w:tcW w:w="826" w:type="pct"/>
                  <w:tcBorders>
                    <w:tl2br w:val="nil"/>
                    <w:tr2bl w:val="nil"/>
                  </w:tcBorders>
                  <w:shd w:val="clear" w:color="auto" w:fill="auto"/>
                  <w:vAlign w:val="center"/>
                </w:tcPr>
                <w:p>
                  <w:pPr>
                    <w:jc w:val="center"/>
                    <w:rPr>
                      <w:sz w:val="21"/>
                      <w:szCs w:val="21"/>
                    </w:rPr>
                  </w:pPr>
                  <w:r>
                    <w:rPr>
                      <w:sz w:val="21"/>
                      <w:szCs w:val="21"/>
                    </w:rPr>
                    <w:t>排放浓度及排放量</w:t>
                  </w:r>
                </w:p>
              </w:tc>
              <w:tc>
                <w:tcPr>
                  <w:tcW w:w="926" w:type="pct"/>
                  <w:tcBorders>
                    <w:tl2br w:val="nil"/>
                    <w:tr2bl w:val="nil"/>
                  </w:tcBorders>
                  <w:shd w:val="clear" w:color="auto" w:fill="auto"/>
                  <w:vAlign w:val="center"/>
                </w:tcPr>
                <w:p>
                  <w:pPr>
                    <w:jc w:val="center"/>
                    <w:rPr>
                      <w:sz w:val="21"/>
                      <w:szCs w:val="21"/>
                    </w:rPr>
                  </w:pPr>
                  <w:r>
                    <w:rPr>
                      <w:sz w:val="21"/>
                      <w:szCs w:val="21"/>
                    </w:rPr>
                    <w:t>处理措施</w:t>
                  </w:r>
                </w:p>
              </w:tc>
              <w:tc>
                <w:tcPr>
                  <w:tcW w:w="1388" w:type="pct"/>
                  <w:tcBorders>
                    <w:tl2br w:val="nil"/>
                    <w:tr2bl w:val="nil"/>
                  </w:tcBorders>
                  <w:shd w:val="clear" w:color="auto" w:fill="auto"/>
                  <w:vAlign w:val="center"/>
                </w:tcPr>
                <w:p>
                  <w:pPr>
                    <w:jc w:val="center"/>
                    <w:rPr>
                      <w:sz w:val="21"/>
                      <w:szCs w:val="21"/>
                    </w:rPr>
                  </w:pPr>
                  <w:r>
                    <w:rPr>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restart"/>
                  <w:tcBorders>
                    <w:tl2br w:val="nil"/>
                    <w:tr2bl w:val="nil"/>
                  </w:tcBorders>
                  <w:shd w:val="clear" w:color="auto" w:fill="auto"/>
                  <w:vAlign w:val="center"/>
                </w:tcPr>
                <w:p>
                  <w:pPr>
                    <w:jc w:val="center"/>
                    <w:rPr>
                      <w:sz w:val="21"/>
                      <w:szCs w:val="21"/>
                    </w:rPr>
                  </w:pPr>
                  <w:r>
                    <w:rPr>
                      <w:sz w:val="21"/>
                      <w:szCs w:val="21"/>
                    </w:rPr>
                    <w:t>熏蒸气体</w:t>
                  </w:r>
                </w:p>
              </w:tc>
              <w:tc>
                <w:tcPr>
                  <w:tcW w:w="324" w:type="pct"/>
                  <w:vMerge w:val="restart"/>
                  <w:tcBorders>
                    <w:tl2br w:val="nil"/>
                    <w:tr2bl w:val="nil"/>
                  </w:tcBorders>
                  <w:shd w:val="clear" w:color="auto" w:fill="auto"/>
                  <w:textDirection w:val="tbRlV"/>
                  <w:vAlign w:val="center"/>
                </w:tcPr>
                <w:p>
                  <w:pPr>
                    <w:jc w:val="center"/>
                    <w:rPr>
                      <w:sz w:val="21"/>
                      <w:szCs w:val="21"/>
                    </w:rPr>
                  </w:pPr>
                  <w:r>
                    <w:rPr>
                      <w:sz w:val="21"/>
                      <w:szCs w:val="21"/>
                    </w:rPr>
                    <w:t>溴甲烷</w:t>
                  </w:r>
                </w:p>
              </w:tc>
              <w:tc>
                <w:tcPr>
                  <w:tcW w:w="343" w:type="pct"/>
                  <w:tcBorders>
                    <w:tl2br w:val="nil"/>
                    <w:tr2bl w:val="nil"/>
                  </w:tcBorders>
                  <w:shd w:val="clear" w:color="auto" w:fill="auto"/>
                  <w:textDirection w:val="tbRlV"/>
                  <w:vAlign w:val="center"/>
                </w:tcPr>
                <w:p>
                  <w:pPr>
                    <w:jc w:val="center"/>
                    <w:rPr>
                      <w:sz w:val="21"/>
                      <w:szCs w:val="21"/>
                    </w:rPr>
                  </w:pPr>
                  <w:r>
                    <w:rPr>
                      <w:sz w:val="21"/>
                      <w:szCs w:val="21"/>
                    </w:rPr>
                    <w:t>有组织</w:t>
                  </w:r>
                </w:p>
              </w:tc>
              <w:tc>
                <w:tcPr>
                  <w:tcW w:w="916" w:type="pct"/>
                  <w:tcBorders>
                    <w:tl2br w:val="nil"/>
                    <w:tr2bl w:val="nil"/>
                  </w:tcBorders>
                  <w:shd w:val="clear" w:color="auto" w:fill="auto"/>
                  <w:vAlign w:val="center"/>
                </w:tcPr>
                <w:p>
                  <w:pPr>
                    <w:jc w:val="center"/>
                    <w:rPr>
                      <w:sz w:val="21"/>
                      <w:szCs w:val="21"/>
                      <w:vertAlign w:val="superscript"/>
                    </w:rPr>
                  </w:pPr>
                  <w:r>
                    <w:rPr>
                      <w:sz w:val="21"/>
                      <w:szCs w:val="21"/>
                    </w:rPr>
                    <w:t>95.04mg/m</w:t>
                  </w:r>
                  <w:r>
                    <w:rPr>
                      <w:sz w:val="21"/>
                      <w:szCs w:val="21"/>
                      <w:vertAlign w:val="superscript"/>
                    </w:rPr>
                    <w:t>3</w:t>
                  </w:r>
                </w:p>
                <w:p>
                  <w:pPr>
                    <w:jc w:val="center"/>
                    <w:rPr>
                      <w:sz w:val="21"/>
                      <w:szCs w:val="21"/>
                    </w:rPr>
                  </w:pPr>
                  <w:r>
                    <w:rPr>
                      <w:sz w:val="21"/>
                      <w:szCs w:val="21"/>
                    </w:rPr>
                    <w:t>1.426kg/a，</w:t>
                  </w:r>
                </w:p>
              </w:tc>
              <w:tc>
                <w:tcPr>
                  <w:tcW w:w="826" w:type="pct"/>
                  <w:tcBorders>
                    <w:tl2br w:val="nil"/>
                    <w:tr2bl w:val="nil"/>
                  </w:tcBorders>
                  <w:shd w:val="clear" w:color="auto" w:fill="auto"/>
                  <w:vAlign w:val="center"/>
                </w:tcPr>
                <w:p>
                  <w:pPr>
                    <w:rPr>
                      <w:sz w:val="21"/>
                      <w:szCs w:val="21"/>
                      <w:vertAlign w:val="superscript"/>
                    </w:rPr>
                  </w:pPr>
                  <w:r>
                    <w:rPr>
                      <w:sz w:val="21"/>
                      <w:szCs w:val="21"/>
                    </w:rPr>
                    <w:t>1.5mg/m</w:t>
                  </w:r>
                  <w:r>
                    <w:rPr>
                      <w:sz w:val="21"/>
                      <w:szCs w:val="21"/>
                      <w:vertAlign w:val="superscript"/>
                    </w:rPr>
                    <w:t>3</w:t>
                  </w:r>
                </w:p>
                <w:p>
                  <w:pPr>
                    <w:rPr>
                      <w:sz w:val="21"/>
                      <w:szCs w:val="21"/>
                    </w:rPr>
                  </w:pPr>
                  <w:r>
                    <w:rPr>
                      <w:sz w:val="21"/>
                      <w:szCs w:val="21"/>
                    </w:rPr>
                    <w:t>0.0022kg/a</w:t>
                  </w:r>
                </w:p>
              </w:tc>
              <w:tc>
                <w:tcPr>
                  <w:tcW w:w="926" w:type="pct"/>
                  <w:tcBorders>
                    <w:tl2br w:val="nil"/>
                    <w:tr2bl w:val="nil"/>
                  </w:tcBorders>
                  <w:shd w:val="clear" w:color="auto" w:fill="auto"/>
                  <w:vAlign w:val="center"/>
                </w:tcPr>
                <w:p>
                  <w:pPr>
                    <w:jc w:val="center"/>
                    <w:rPr>
                      <w:sz w:val="21"/>
                      <w:szCs w:val="21"/>
                    </w:rPr>
                  </w:pPr>
                  <w:r>
                    <w:rPr>
                      <w:sz w:val="21"/>
                      <w:szCs w:val="21"/>
                    </w:rPr>
                    <w:t>多级活性炭吸附装置+15m排气筒</w:t>
                  </w:r>
                </w:p>
              </w:tc>
              <w:tc>
                <w:tcPr>
                  <w:tcW w:w="1388" w:type="pct"/>
                  <w:tcBorders>
                    <w:tl2br w:val="nil"/>
                    <w:tr2bl w:val="nil"/>
                  </w:tcBorders>
                  <w:shd w:val="clear" w:color="auto" w:fill="auto"/>
                  <w:vAlign w:val="center"/>
                </w:tcPr>
                <w:p>
                  <w:pPr>
                    <w:jc w:val="center"/>
                    <w:rPr>
                      <w:sz w:val="21"/>
                      <w:szCs w:val="21"/>
                    </w:rPr>
                  </w:pPr>
                  <w:r>
                    <w:rPr>
                      <w:sz w:val="21"/>
                      <w:szCs w:val="21"/>
                    </w:rPr>
                    <w:t>《工作场所有害因素职业接触限值化学有害因素》（GBZ2.1-2007）（2.0mg/m</w:t>
                  </w:r>
                  <w:r>
                    <w:rPr>
                      <w:sz w:val="21"/>
                      <w:szCs w:val="21"/>
                      <w:vertAlign w:val="superscript"/>
                    </w:rPr>
                    <w:t>3</w:t>
                  </w: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continue"/>
                  <w:tcBorders>
                    <w:tl2br w:val="nil"/>
                    <w:tr2bl w:val="nil"/>
                  </w:tcBorders>
                  <w:shd w:val="clear" w:color="auto" w:fill="auto"/>
                  <w:vAlign w:val="center"/>
                </w:tcPr>
                <w:p>
                  <w:pPr>
                    <w:jc w:val="center"/>
                    <w:rPr>
                      <w:sz w:val="21"/>
                      <w:szCs w:val="21"/>
                      <w:lang w:bidi="ar"/>
                    </w:rPr>
                  </w:pPr>
                </w:p>
              </w:tc>
              <w:tc>
                <w:tcPr>
                  <w:tcW w:w="324" w:type="pct"/>
                  <w:vMerge w:val="continue"/>
                  <w:tcBorders>
                    <w:tl2br w:val="nil"/>
                    <w:tr2bl w:val="nil"/>
                  </w:tcBorders>
                  <w:shd w:val="clear" w:color="auto" w:fill="auto"/>
                  <w:textDirection w:val="tbRlV"/>
                  <w:vAlign w:val="center"/>
                </w:tcPr>
                <w:p>
                  <w:pPr>
                    <w:jc w:val="center"/>
                    <w:rPr>
                      <w:sz w:val="21"/>
                      <w:szCs w:val="21"/>
                      <w:lang w:bidi="ar"/>
                    </w:rPr>
                  </w:pPr>
                </w:p>
              </w:tc>
              <w:tc>
                <w:tcPr>
                  <w:tcW w:w="343" w:type="pct"/>
                  <w:tcBorders>
                    <w:tl2br w:val="nil"/>
                    <w:tr2bl w:val="nil"/>
                  </w:tcBorders>
                  <w:shd w:val="clear" w:color="auto" w:fill="auto"/>
                  <w:textDirection w:val="tbRlV"/>
                  <w:vAlign w:val="center"/>
                </w:tcPr>
                <w:p>
                  <w:pPr>
                    <w:jc w:val="center"/>
                    <w:rPr>
                      <w:sz w:val="21"/>
                      <w:szCs w:val="21"/>
                      <w:lang w:bidi="ar"/>
                    </w:rPr>
                  </w:pPr>
                  <w:r>
                    <w:rPr>
                      <w:sz w:val="21"/>
                      <w:szCs w:val="21"/>
                    </w:rPr>
                    <w:t>无组织</w:t>
                  </w:r>
                </w:p>
              </w:tc>
              <w:tc>
                <w:tcPr>
                  <w:tcW w:w="916" w:type="pct"/>
                  <w:tcBorders>
                    <w:tl2br w:val="nil"/>
                    <w:tr2bl w:val="nil"/>
                  </w:tcBorders>
                  <w:shd w:val="clear" w:color="auto" w:fill="auto"/>
                  <w:vAlign w:val="center"/>
                </w:tcPr>
                <w:p>
                  <w:pPr>
                    <w:jc w:val="center"/>
                    <w:rPr>
                      <w:sz w:val="21"/>
                      <w:szCs w:val="21"/>
                      <w:lang w:bidi="ar"/>
                    </w:rPr>
                  </w:pPr>
                  <w:r>
                    <w:rPr>
                      <w:sz w:val="21"/>
                      <w:szCs w:val="21"/>
                    </w:rPr>
                    <w:t>0.0144kg/a。</w:t>
                  </w:r>
                </w:p>
              </w:tc>
              <w:tc>
                <w:tcPr>
                  <w:tcW w:w="826" w:type="pct"/>
                  <w:tcBorders>
                    <w:tl2br w:val="nil"/>
                    <w:tr2bl w:val="nil"/>
                  </w:tcBorders>
                  <w:shd w:val="clear" w:color="auto" w:fill="auto"/>
                  <w:vAlign w:val="center"/>
                </w:tcPr>
                <w:p>
                  <w:pPr>
                    <w:jc w:val="center"/>
                    <w:rPr>
                      <w:sz w:val="21"/>
                      <w:szCs w:val="21"/>
                      <w:lang w:bidi="ar"/>
                    </w:rPr>
                  </w:pPr>
                  <w:r>
                    <w:rPr>
                      <w:sz w:val="21"/>
                      <w:szCs w:val="21"/>
                    </w:rPr>
                    <w:t>0.0144kg/a。</w:t>
                  </w:r>
                </w:p>
              </w:tc>
              <w:tc>
                <w:tcPr>
                  <w:tcW w:w="926" w:type="pct"/>
                  <w:tcBorders>
                    <w:tl2br w:val="nil"/>
                    <w:tr2bl w:val="nil"/>
                  </w:tcBorders>
                  <w:shd w:val="clear" w:color="auto" w:fill="auto"/>
                  <w:vAlign w:val="center"/>
                </w:tcPr>
                <w:p>
                  <w:pPr>
                    <w:jc w:val="center"/>
                    <w:rPr>
                      <w:sz w:val="21"/>
                      <w:szCs w:val="21"/>
                      <w:lang w:bidi="ar"/>
                    </w:rPr>
                  </w:pPr>
                  <w:r>
                    <w:rPr>
                      <w:sz w:val="21"/>
                      <w:szCs w:val="21"/>
                    </w:rPr>
                    <w:t>多级活性炭吸附装置+15m排气筒</w:t>
                  </w:r>
                </w:p>
              </w:tc>
              <w:tc>
                <w:tcPr>
                  <w:tcW w:w="1388" w:type="pct"/>
                  <w:tcBorders>
                    <w:tl2br w:val="nil"/>
                    <w:tr2bl w:val="nil"/>
                  </w:tcBorders>
                  <w:shd w:val="clear" w:color="auto" w:fill="auto"/>
                  <w:vAlign w:val="center"/>
                </w:tcPr>
                <w:p>
                  <w:pPr>
                    <w:jc w:val="center"/>
                    <w:rPr>
                      <w:sz w:val="21"/>
                      <w:szCs w:val="21"/>
                      <w:lang w:bidi="ar"/>
                    </w:rPr>
                  </w:pPr>
                  <w:r>
                    <w:rPr>
                      <w:sz w:val="21"/>
                      <w:szCs w:val="21"/>
                    </w:rPr>
                    <w:t>《工作场所有害因素职业接触限值化学有害因素》（GBZ2.1-2007）（2.0mg/m</w:t>
                  </w:r>
                  <w:r>
                    <w:rPr>
                      <w:sz w:val="21"/>
                      <w:szCs w:val="21"/>
                      <w:vertAlign w:val="superscript"/>
                    </w:rPr>
                    <w:t>3</w:t>
                  </w: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restart"/>
                  <w:tcBorders>
                    <w:tl2br w:val="nil"/>
                    <w:tr2bl w:val="nil"/>
                  </w:tcBorders>
                  <w:shd w:val="clear" w:color="auto" w:fill="auto"/>
                  <w:vAlign w:val="center"/>
                </w:tcPr>
                <w:p>
                  <w:pPr>
                    <w:rPr>
                      <w:sz w:val="21"/>
                      <w:szCs w:val="21"/>
                    </w:rPr>
                  </w:pPr>
                  <w:r>
                    <w:rPr>
                      <w:sz w:val="21"/>
                      <w:szCs w:val="21"/>
                    </w:rPr>
                    <w:t>无害</w:t>
                  </w:r>
                </w:p>
                <w:p>
                  <w:pPr>
                    <w:rPr>
                      <w:sz w:val="21"/>
                      <w:szCs w:val="21"/>
                    </w:rPr>
                  </w:pPr>
                  <w:r>
                    <w:rPr>
                      <w:sz w:val="21"/>
                      <w:szCs w:val="21"/>
                    </w:rPr>
                    <w:t>化处</w:t>
                  </w:r>
                </w:p>
                <w:p>
                  <w:pPr>
                    <w:rPr>
                      <w:sz w:val="21"/>
                      <w:szCs w:val="21"/>
                    </w:rPr>
                  </w:pPr>
                  <w:r>
                    <w:rPr>
                      <w:sz w:val="21"/>
                      <w:szCs w:val="21"/>
                    </w:rPr>
                    <w:t>理恶</w:t>
                  </w:r>
                </w:p>
                <w:p>
                  <w:pPr>
                    <w:rPr>
                      <w:sz w:val="21"/>
                      <w:szCs w:val="21"/>
                    </w:rPr>
                  </w:pPr>
                  <w:r>
                    <w:rPr>
                      <w:sz w:val="21"/>
                      <w:szCs w:val="21"/>
                    </w:rPr>
                    <w:t>臭及</w:t>
                  </w:r>
                </w:p>
                <w:p>
                  <w:pPr>
                    <w:rPr>
                      <w:sz w:val="21"/>
                      <w:szCs w:val="21"/>
                      <w:lang w:bidi="ar"/>
                    </w:rPr>
                  </w:pPr>
                  <w:r>
                    <w:rPr>
                      <w:sz w:val="21"/>
                      <w:szCs w:val="21"/>
                    </w:rPr>
                    <w:t>粉尘</w:t>
                  </w:r>
                </w:p>
              </w:tc>
              <w:tc>
                <w:tcPr>
                  <w:tcW w:w="668" w:type="pct"/>
                  <w:gridSpan w:val="2"/>
                  <w:tcBorders>
                    <w:tl2br w:val="nil"/>
                    <w:tr2bl w:val="nil"/>
                  </w:tcBorders>
                  <w:shd w:val="clear" w:color="auto" w:fill="auto"/>
                  <w:vAlign w:val="center"/>
                </w:tcPr>
                <w:p>
                  <w:pPr>
                    <w:jc w:val="center"/>
                    <w:rPr>
                      <w:sz w:val="21"/>
                      <w:szCs w:val="21"/>
                      <w:lang w:bidi="ar"/>
                    </w:rPr>
                  </w:pPr>
                  <w:r>
                    <w:rPr>
                      <w:sz w:val="21"/>
                      <w:szCs w:val="21"/>
                    </w:rPr>
                    <w:t>NH</w:t>
                  </w:r>
                  <w:r>
                    <w:rPr>
                      <w:sz w:val="21"/>
                      <w:szCs w:val="21"/>
                      <w:vertAlign w:val="subscript"/>
                    </w:rPr>
                    <w:t>3</w:t>
                  </w:r>
                </w:p>
              </w:tc>
              <w:tc>
                <w:tcPr>
                  <w:tcW w:w="916" w:type="pct"/>
                  <w:tcBorders>
                    <w:tl2br w:val="nil"/>
                    <w:tr2bl w:val="nil"/>
                  </w:tcBorders>
                  <w:shd w:val="clear" w:color="auto" w:fill="auto"/>
                  <w:vAlign w:val="center"/>
                </w:tcPr>
                <w:p>
                  <w:pPr>
                    <w:jc w:val="center"/>
                    <w:rPr>
                      <w:sz w:val="21"/>
                      <w:szCs w:val="21"/>
                      <w:lang w:bidi="ar"/>
                    </w:rPr>
                  </w:pPr>
                  <w:r>
                    <w:rPr>
                      <w:sz w:val="21"/>
                      <w:szCs w:val="21"/>
                    </w:rPr>
                    <w:t>5.61kg/a</w:t>
                  </w:r>
                </w:p>
              </w:tc>
              <w:tc>
                <w:tcPr>
                  <w:tcW w:w="826" w:type="pct"/>
                  <w:tcBorders>
                    <w:tl2br w:val="nil"/>
                    <w:tr2bl w:val="nil"/>
                  </w:tcBorders>
                  <w:shd w:val="clear" w:color="auto" w:fill="auto"/>
                  <w:vAlign w:val="center"/>
                </w:tcPr>
                <w:p>
                  <w:pPr>
                    <w:jc w:val="center"/>
                    <w:rPr>
                      <w:sz w:val="21"/>
                      <w:szCs w:val="21"/>
                      <w:lang w:bidi="ar"/>
                    </w:rPr>
                  </w:pPr>
                  <w:r>
                    <w:rPr>
                      <w:sz w:val="21"/>
                      <w:szCs w:val="21"/>
                    </w:rPr>
                    <w:t>0.561kg/a</w:t>
                  </w:r>
                </w:p>
              </w:tc>
              <w:tc>
                <w:tcPr>
                  <w:tcW w:w="926" w:type="pct"/>
                  <w:vMerge w:val="restart"/>
                  <w:tcBorders>
                    <w:tl2br w:val="nil"/>
                    <w:tr2bl w:val="nil"/>
                  </w:tcBorders>
                  <w:shd w:val="clear" w:color="auto" w:fill="auto"/>
                  <w:vAlign w:val="center"/>
                </w:tcPr>
                <w:p>
                  <w:pPr>
                    <w:jc w:val="center"/>
                    <w:rPr>
                      <w:sz w:val="21"/>
                      <w:szCs w:val="21"/>
                      <w:lang w:bidi="ar"/>
                    </w:rPr>
                  </w:pPr>
                  <w:r>
                    <w:rPr>
                      <w:sz w:val="21"/>
                      <w:szCs w:val="21"/>
                    </w:rPr>
                    <w:t>布袋除尘器+生物滤池+15m排气筒（2#）</w:t>
                  </w:r>
                </w:p>
              </w:tc>
              <w:tc>
                <w:tcPr>
                  <w:tcW w:w="1388" w:type="pct"/>
                  <w:vMerge w:val="restart"/>
                  <w:tcBorders>
                    <w:tl2br w:val="nil"/>
                    <w:tr2bl w:val="nil"/>
                  </w:tcBorders>
                  <w:shd w:val="clear" w:color="auto" w:fill="auto"/>
                  <w:vAlign w:val="center"/>
                </w:tcPr>
                <w:p>
                  <w:pPr>
                    <w:jc w:val="center"/>
                    <w:rPr>
                      <w:sz w:val="21"/>
                      <w:szCs w:val="21"/>
                    </w:rPr>
                  </w:pPr>
                  <w:r>
                    <w:rPr>
                      <w:sz w:val="21"/>
                      <w:szCs w:val="21"/>
                    </w:rPr>
                    <w:t>《恶臭污染物排放标准》（GB14554- 1993）表1 中污染物厂界 排放限值（氨：</w:t>
                  </w:r>
                </w:p>
                <w:p>
                  <w:pPr>
                    <w:jc w:val="center"/>
                    <w:rPr>
                      <w:sz w:val="21"/>
                      <w:szCs w:val="21"/>
                    </w:rPr>
                  </w:pPr>
                  <w:r>
                    <w:rPr>
                      <w:sz w:val="21"/>
                      <w:szCs w:val="21"/>
                    </w:rPr>
                    <w:t>1.5mg/m3 ，硫化氢</w:t>
                  </w:r>
                </w:p>
                <w:p>
                  <w:pPr>
                    <w:jc w:val="center"/>
                    <w:rPr>
                      <w:sz w:val="21"/>
                      <w:szCs w:val="21"/>
                      <w:lang w:bidi="ar"/>
                    </w:rPr>
                  </w:pPr>
                  <w:r>
                    <w:rPr>
                      <w:sz w:val="21"/>
                      <w:szCs w:val="21"/>
                    </w:rPr>
                    <w:t>0.06mg/m3，臭气浓 度 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continue"/>
                  <w:tcBorders>
                    <w:tl2br w:val="nil"/>
                    <w:tr2bl w:val="nil"/>
                  </w:tcBorders>
                  <w:shd w:val="clear" w:color="auto" w:fill="auto"/>
                  <w:vAlign w:val="center"/>
                </w:tcPr>
                <w:p>
                  <w:pPr>
                    <w:rPr>
                      <w:sz w:val="21"/>
                      <w:szCs w:val="21"/>
                      <w:lang w:bidi="ar"/>
                    </w:rPr>
                  </w:pPr>
                </w:p>
              </w:tc>
              <w:tc>
                <w:tcPr>
                  <w:tcW w:w="668" w:type="pct"/>
                  <w:gridSpan w:val="2"/>
                  <w:tcBorders>
                    <w:tl2br w:val="nil"/>
                    <w:tr2bl w:val="nil"/>
                  </w:tcBorders>
                  <w:shd w:val="clear" w:color="auto" w:fill="auto"/>
                  <w:vAlign w:val="center"/>
                </w:tcPr>
                <w:p>
                  <w:pPr>
                    <w:jc w:val="center"/>
                    <w:rPr>
                      <w:sz w:val="21"/>
                      <w:szCs w:val="21"/>
                      <w:lang w:bidi="ar"/>
                    </w:rPr>
                  </w:pPr>
                  <w:r>
                    <w:rPr>
                      <w:sz w:val="21"/>
                      <w:szCs w:val="21"/>
                    </w:rPr>
                    <w:t>H</w:t>
                  </w:r>
                  <w:r>
                    <w:rPr>
                      <w:sz w:val="21"/>
                      <w:szCs w:val="21"/>
                      <w:vertAlign w:val="subscript"/>
                    </w:rPr>
                    <w:t>2</w:t>
                  </w:r>
                  <w:r>
                    <w:rPr>
                      <w:sz w:val="21"/>
                      <w:szCs w:val="21"/>
                    </w:rPr>
                    <w:t>S</w:t>
                  </w:r>
                </w:p>
              </w:tc>
              <w:tc>
                <w:tcPr>
                  <w:tcW w:w="916" w:type="pct"/>
                  <w:tcBorders>
                    <w:tl2br w:val="nil"/>
                    <w:tr2bl w:val="nil"/>
                  </w:tcBorders>
                  <w:shd w:val="clear" w:color="auto" w:fill="auto"/>
                  <w:vAlign w:val="center"/>
                </w:tcPr>
                <w:p>
                  <w:pPr>
                    <w:jc w:val="center"/>
                    <w:rPr>
                      <w:sz w:val="21"/>
                      <w:szCs w:val="21"/>
                      <w:lang w:bidi="ar"/>
                    </w:rPr>
                  </w:pPr>
                  <w:r>
                    <w:rPr>
                      <w:sz w:val="21"/>
                      <w:szCs w:val="21"/>
                    </w:rPr>
                    <w:t>0.584kg/a</w:t>
                  </w:r>
                </w:p>
              </w:tc>
              <w:tc>
                <w:tcPr>
                  <w:tcW w:w="826" w:type="pct"/>
                  <w:tcBorders>
                    <w:tl2br w:val="nil"/>
                    <w:tr2bl w:val="nil"/>
                  </w:tcBorders>
                  <w:shd w:val="clear" w:color="auto" w:fill="auto"/>
                  <w:vAlign w:val="center"/>
                </w:tcPr>
                <w:p>
                  <w:pPr>
                    <w:jc w:val="center"/>
                    <w:rPr>
                      <w:sz w:val="21"/>
                      <w:szCs w:val="21"/>
                      <w:lang w:bidi="ar"/>
                    </w:rPr>
                  </w:pPr>
                  <w:r>
                    <w:rPr>
                      <w:sz w:val="21"/>
                      <w:szCs w:val="21"/>
                    </w:rPr>
                    <w:t>0.0584kg/a</w:t>
                  </w:r>
                </w:p>
              </w:tc>
              <w:tc>
                <w:tcPr>
                  <w:tcW w:w="926" w:type="pct"/>
                  <w:vMerge w:val="continue"/>
                  <w:tcBorders>
                    <w:tl2br w:val="nil"/>
                    <w:tr2bl w:val="nil"/>
                  </w:tcBorders>
                  <w:shd w:val="clear" w:color="auto" w:fill="auto"/>
                  <w:vAlign w:val="center"/>
                </w:tcPr>
                <w:p>
                  <w:pPr>
                    <w:rPr>
                      <w:sz w:val="21"/>
                      <w:szCs w:val="21"/>
                      <w:lang w:bidi="ar"/>
                    </w:rPr>
                  </w:pPr>
                </w:p>
              </w:tc>
              <w:tc>
                <w:tcPr>
                  <w:tcW w:w="1388" w:type="pct"/>
                  <w:vMerge w:val="continue"/>
                  <w:tcBorders>
                    <w:tl2br w:val="nil"/>
                    <w:tr2bl w:val="nil"/>
                  </w:tcBorders>
                  <w:shd w:val="clear" w:color="auto" w:fill="auto"/>
                  <w:vAlign w:val="center"/>
                </w:tcPr>
                <w:p>
                  <w:pPr>
                    <w:rPr>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continue"/>
                  <w:tcBorders>
                    <w:tl2br w:val="nil"/>
                    <w:tr2bl w:val="nil"/>
                  </w:tcBorders>
                  <w:shd w:val="clear" w:color="auto" w:fill="auto"/>
                  <w:vAlign w:val="center"/>
                </w:tcPr>
                <w:p>
                  <w:pPr>
                    <w:rPr>
                      <w:sz w:val="21"/>
                      <w:szCs w:val="21"/>
                      <w:lang w:bidi="ar"/>
                    </w:rPr>
                  </w:pPr>
                </w:p>
              </w:tc>
              <w:tc>
                <w:tcPr>
                  <w:tcW w:w="668" w:type="pct"/>
                  <w:gridSpan w:val="2"/>
                  <w:tcBorders>
                    <w:tl2br w:val="nil"/>
                    <w:tr2bl w:val="nil"/>
                  </w:tcBorders>
                  <w:shd w:val="clear" w:color="auto" w:fill="auto"/>
                  <w:vAlign w:val="center"/>
                </w:tcPr>
                <w:p>
                  <w:pPr>
                    <w:jc w:val="center"/>
                    <w:rPr>
                      <w:sz w:val="21"/>
                      <w:szCs w:val="21"/>
                      <w:lang w:bidi="ar"/>
                    </w:rPr>
                  </w:pPr>
                  <w:r>
                    <w:rPr>
                      <w:sz w:val="21"/>
                      <w:szCs w:val="21"/>
                    </w:rPr>
                    <w:t>臭气浓度</w:t>
                  </w:r>
                </w:p>
              </w:tc>
              <w:tc>
                <w:tcPr>
                  <w:tcW w:w="916" w:type="pct"/>
                  <w:tcBorders>
                    <w:tl2br w:val="nil"/>
                    <w:tr2bl w:val="nil"/>
                  </w:tcBorders>
                  <w:shd w:val="clear" w:color="auto" w:fill="auto"/>
                  <w:vAlign w:val="center"/>
                </w:tcPr>
                <w:p>
                  <w:pPr>
                    <w:jc w:val="center"/>
                    <w:rPr>
                      <w:sz w:val="21"/>
                      <w:szCs w:val="21"/>
                      <w:lang w:bidi="ar"/>
                    </w:rPr>
                  </w:pPr>
                  <w:r>
                    <w:rPr>
                      <w:sz w:val="21"/>
                      <w:szCs w:val="21"/>
                    </w:rPr>
                    <w:t>2.33</w:t>
                  </w:r>
                </w:p>
              </w:tc>
              <w:tc>
                <w:tcPr>
                  <w:tcW w:w="826" w:type="pct"/>
                  <w:tcBorders>
                    <w:tl2br w:val="nil"/>
                    <w:tr2bl w:val="nil"/>
                  </w:tcBorders>
                  <w:shd w:val="clear" w:color="auto" w:fill="auto"/>
                  <w:vAlign w:val="center"/>
                </w:tcPr>
                <w:p>
                  <w:pPr>
                    <w:jc w:val="center"/>
                    <w:rPr>
                      <w:sz w:val="21"/>
                      <w:szCs w:val="21"/>
                      <w:lang w:bidi="ar"/>
                    </w:rPr>
                  </w:pPr>
                  <w:r>
                    <w:rPr>
                      <w:sz w:val="21"/>
                      <w:szCs w:val="21"/>
                    </w:rPr>
                    <w:t>0.233</w:t>
                  </w:r>
                </w:p>
              </w:tc>
              <w:tc>
                <w:tcPr>
                  <w:tcW w:w="926" w:type="pct"/>
                  <w:vMerge w:val="continue"/>
                  <w:tcBorders>
                    <w:tl2br w:val="nil"/>
                    <w:tr2bl w:val="nil"/>
                  </w:tcBorders>
                  <w:shd w:val="clear" w:color="auto" w:fill="auto"/>
                  <w:vAlign w:val="center"/>
                </w:tcPr>
                <w:p>
                  <w:pPr>
                    <w:rPr>
                      <w:sz w:val="21"/>
                      <w:szCs w:val="21"/>
                      <w:lang w:bidi="ar"/>
                    </w:rPr>
                  </w:pPr>
                </w:p>
              </w:tc>
              <w:tc>
                <w:tcPr>
                  <w:tcW w:w="1388" w:type="pct"/>
                  <w:vMerge w:val="continue"/>
                  <w:tcBorders>
                    <w:tl2br w:val="nil"/>
                    <w:tr2bl w:val="nil"/>
                  </w:tcBorders>
                  <w:shd w:val="clear" w:color="auto" w:fill="auto"/>
                  <w:vAlign w:val="center"/>
                </w:tcPr>
                <w:p>
                  <w:pPr>
                    <w:rPr>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73" w:type="pct"/>
                  <w:vMerge w:val="continue"/>
                  <w:tcBorders>
                    <w:tl2br w:val="nil"/>
                    <w:tr2bl w:val="nil"/>
                  </w:tcBorders>
                  <w:shd w:val="clear" w:color="auto" w:fill="auto"/>
                  <w:vAlign w:val="center"/>
                </w:tcPr>
                <w:p>
                  <w:pPr>
                    <w:rPr>
                      <w:sz w:val="21"/>
                      <w:szCs w:val="21"/>
                      <w:lang w:bidi="ar"/>
                    </w:rPr>
                  </w:pPr>
                </w:p>
              </w:tc>
              <w:tc>
                <w:tcPr>
                  <w:tcW w:w="668" w:type="pct"/>
                  <w:gridSpan w:val="2"/>
                  <w:tcBorders>
                    <w:tl2br w:val="nil"/>
                    <w:tr2bl w:val="nil"/>
                  </w:tcBorders>
                  <w:shd w:val="clear" w:color="auto" w:fill="auto"/>
                  <w:vAlign w:val="center"/>
                </w:tcPr>
                <w:p>
                  <w:pPr>
                    <w:rPr>
                      <w:sz w:val="21"/>
                      <w:szCs w:val="21"/>
                      <w:lang w:bidi="ar"/>
                    </w:rPr>
                  </w:pPr>
                  <w:r>
                    <w:rPr>
                      <w:sz w:val="21"/>
                      <w:szCs w:val="21"/>
                    </w:rPr>
                    <w:t>粉尘</w:t>
                  </w:r>
                </w:p>
              </w:tc>
              <w:tc>
                <w:tcPr>
                  <w:tcW w:w="916" w:type="pct"/>
                  <w:tcBorders>
                    <w:tl2br w:val="nil"/>
                    <w:tr2bl w:val="nil"/>
                  </w:tcBorders>
                  <w:shd w:val="clear" w:color="auto" w:fill="auto"/>
                  <w:vAlign w:val="center"/>
                </w:tcPr>
                <w:p>
                  <w:pPr>
                    <w:jc w:val="center"/>
                    <w:rPr>
                      <w:sz w:val="21"/>
                      <w:szCs w:val="21"/>
                    </w:rPr>
                  </w:pPr>
                  <w:r>
                    <w:rPr>
                      <w:sz w:val="21"/>
                      <w:szCs w:val="21"/>
                    </w:rPr>
                    <w:t>4.5kg/a，</w:t>
                  </w:r>
                </w:p>
                <w:p>
                  <w:pPr>
                    <w:jc w:val="center"/>
                    <w:rPr>
                      <w:sz w:val="21"/>
                      <w:szCs w:val="21"/>
                      <w:lang w:bidi="ar"/>
                    </w:rPr>
                  </w:pPr>
                  <w:r>
                    <w:rPr>
                      <w:sz w:val="21"/>
                      <w:szCs w:val="21"/>
                    </w:rPr>
                    <w:t>0.77mg/m</w:t>
                  </w:r>
                  <w:r>
                    <w:rPr>
                      <w:sz w:val="21"/>
                      <w:szCs w:val="21"/>
                      <w:vertAlign w:val="superscript"/>
                    </w:rPr>
                    <w:t>3</w:t>
                  </w:r>
                </w:p>
              </w:tc>
              <w:tc>
                <w:tcPr>
                  <w:tcW w:w="826" w:type="pct"/>
                  <w:tcBorders>
                    <w:tl2br w:val="nil"/>
                    <w:tr2bl w:val="nil"/>
                  </w:tcBorders>
                  <w:shd w:val="clear" w:color="auto" w:fill="auto"/>
                  <w:vAlign w:val="center"/>
                </w:tcPr>
                <w:p>
                  <w:pPr>
                    <w:jc w:val="center"/>
                    <w:rPr>
                      <w:sz w:val="21"/>
                      <w:szCs w:val="21"/>
                      <w:lang w:bidi="ar"/>
                    </w:rPr>
                  </w:pPr>
                  <w:r>
                    <w:rPr>
                      <w:sz w:val="21"/>
                      <w:szCs w:val="21"/>
                    </w:rPr>
                    <w:t>0.225kg/a，0.04mg/m</w:t>
                  </w:r>
                  <w:r>
                    <w:rPr>
                      <w:sz w:val="21"/>
                      <w:szCs w:val="21"/>
                      <w:vertAlign w:val="superscript"/>
                    </w:rPr>
                    <w:t>3</w:t>
                  </w:r>
                </w:p>
              </w:tc>
              <w:tc>
                <w:tcPr>
                  <w:tcW w:w="926" w:type="pct"/>
                  <w:tcBorders>
                    <w:tl2br w:val="nil"/>
                    <w:tr2bl w:val="nil"/>
                  </w:tcBorders>
                  <w:shd w:val="clear" w:color="auto" w:fill="auto"/>
                  <w:vAlign w:val="center"/>
                </w:tcPr>
                <w:p>
                  <w:pPr>
                    <w:jc w:val="center"/>
                    <w:rPr>
                      <w:sz w:val="21"/>
                      <w:szCs w:val="21"/>
                      <w:lang w:bidi="ar"/>
                    </w:rPr>
                  </w:pPr>
                  <w:r>
                    <w:rPr>
                      <w:sz w:val="21"/>
                      <w:szCs w:val="21"/>
                    </w:rPr>
                    <w:t>布袋除尘器+生物滤池处理后，由15米排气筒2#</w:t>
                  </w:r>
                </w:p>
              </w:tc>
              <w:tc>
                <w:tcPr>
                  <w:tcW w:w="1388" w:type="pct"/>
                  <w:tcBorders>
                    <w:tl2br w:val="nil"/>
                    <w:tr2bl w:val="nil"/>
                  </w:tcBorders>
                  <w:shd w:val="clear" w:color="auto" w:fill="auto"/>
                  <w:vAlign w:val="center"/>
                </w:tcPr>
                <w:p>
                  <w:pPr>
                    <w:jc w:val="center"/>
                    <w:rPr>
                      <w:sz w:val="21"/>
                      <w:szCs w:val="21"/>
                    </w:rPr>
                  </w:pPr>
                  <w:r>
                    <w:rPr>
                      <w:sz w:val="21"/>
                      <w:szCs w:val="21"/>
                    </w:rPr>
                    <w:t>《大气污染物综合</w:t>
                  </w:r>
                </w:p>
                <w:p>
                  <w:pPr>
                    <w:jc w:val="center"/>
                    <w:rPr>
                      <w:sz w:val="21"/>
                      <w:szCs w:val="21"/>
                    </w:rPr>
                  </w:pPr>
                  <w:r>
                    <w:rPr>
                      <w:sz w:val="21"/>
                      <w:szCs w:val="21"/>
                    </w:rPr>
                    <w:t>排放标》</w:t>
                  </w:r>
                </w:p>
                <w:p>
                  <w:pPr>
                    <w:jc w:val="center"/>
                    <w:rPr>
                      <w:sz w:val="21"/>
                      <w:szCs w:val="21"/>
                      <w:lang w:bidi="ar"/>
                    </w:rPr>
                  </w:pPr>
                  <w:r>
                    <w:rPr>
                      <w:sz w:val="21"/>
                      <w:szCs w:val="21"/>
                    </w:rPr>
                    <w:t>（GB16297- 1996） 表 2 中排放标准</w:t>
                  </w:r>
                </w:p>
              </w:tc>
            </w:tr>
          </w:tbl>
          <w:p>
            <w:pPr>
              <w:spacing w:before="120" w:beforeLines="50" w:line="360" w:lineRule="auto"/>
              <w:ind w:firstLine="480" w:firstLineChars="200"/>
            </w:pPr>
            <w:r>
              <w:t>（1）熏蒸气体</w:t>
            </w:r>
          </w:p>
          <w:p>
            <w:pPr>
              <w:spacing w:line="360" w:lineRule="auto"/>
              <w:ind w:firstLine="480" w:firstLineChars="200"/>
            </w:pPr>
            <w:r>
              <w:t>本项目熏蒸气体采用溴甲烷气体，熏蒸处理设施有效空间按80m</w:t>
            </w:r>
            <w:r>
              <w:rPr>
                <w:vertAlign w:val="superscript"/>
              </w:rPr>
              <w:t>3</w:t>
            </w:r>
            <w:r>
              <w:t>计。类比同类型项 目，在熏蒸过程中每立方米投药量24g，则单次熏蒸总共投药量为1.92kg/d，一年熏蒸5次，则熏蒸总投药量为9.6kg/a。熏蒸处理设施能实现熏蒸药剂回收重复再利用，回收再 利用率不低于85%，本项目回收再利用按85%计算，则回收量为8.16kg/a，排放量为1.44kg/a；熏蒸房的密闭性较好，在通风散气的时候，最终大约有 1%是以无组织形式排放，99%是在熏蒸房强制机械通风以有组织形式排入活性炭吸附装置后经过熏蒸房屋顶15m高的排气筒（1#）排入大气。熏蒸房机械通风风机风量按1500m</w:t>
            </w:r>
            <w:r>
              <w:rPr>
                <w:vertAlign w:val="superscript"/>
              </w:rPr>
              <w:t>3</w:t>
            </w:r>
            <w:r>
              <w:t>/h计，每次熏蒸的散药时间约2h，则有组织废气产生速率为0.143kg/h，产生浓度为 95.04mg/m</w:t>
            </w:r>
            <w:r>
              <w:rPr>
                <w:vertAlign w:val="superscript"/>
              </w:rPr>
              <w:t>3</w:t>
            </w:r>
            <w:r>
              <w:t>，产生量为1.426kg/a，经多级活性炭直接吸附处理，处理的综合效率按98.43%（每级处理效率75%，共三级处理）计算，排放速率为 0.0022kg/h，排放浓度为1.5mg/m</w:t>
            </w:r>
            <w:r>
              <w:rPr>
                <w:vertAlign w:val="superscript"/>
              </w:rPr>
              <w:t>3</w:t>
            </w:r>
            <w:r>
              <w:t>，排放量为 0.022kg/a。每次熏蒸的无组织排放量为 0.0144kg/a。</w:t>
            </w:r>
          </w:p>
          <w:p>
            <w:pPr>
              <w:spacing w:line="360" w:lineRule="auto"/>
              <w:ind w:firstLine="480" w:firstLineChars="200"/>
            </w:pPr>
            <w:r>
              <w:t>本项目排放废气，由上述计算可知，可满足《工作场所有害因素职业接触限值化学有害因素》（GBZ2.1-2007）（2.0mg/m</w:t>
            </w:r>
            <w:r>
              <w:rPr>
                <w:vertAlign w:val="superscript"/>
              </w:rPr>
              <w:t>3</w:t>
            </w:r>
            <w:r>
              <w:t>），由于本项目为仓储物流行业，没有该评价因子的行业排放标准，考虑到处理区周边有人员活动，因此采用该标准评价。</w:t>
            </w:r>
          </w:p>
          <w:p>
            <w:pPr>
              <w:spacing w:line="360" w:lineRule="auto"/>
              <w:ind w:firstLine="480" w:firstLineChars="200"/>
            </w:pPr>
            <w:r>
              <w:t>评价提出如下防毒措施：</w:t>
            </w:r>
          </w:p>
          <w:p>
            <w:pPr>
              <w:spacing w:line="360" w:lineRule="auto"/>
              <w:ind w:firstLine="480" w:firstLineChars="200"/>
            </w:pPr>
            <w:r>
              <w:t>在熏蒸期间应标出该区的危险标志，同时划出安全距离，所有进行充气操作的熏蒸人员必须穿戴防护服；各粮仓以及熏蒸管道均应有良好的密闭性能。同时要严格遵守行业的有关规章制度和企业管理制度进行熏蒸剂的操作与使用。</w:t>
            </w:r>
          </w:p>
          <w:p>
            <w:pPr>
              <w:spacing w:line="360" w:lineRule="auto"/>
              <w:ind w:firstLine="480" w:firstLineChars="200"/>
            </w:pPr>
            <w:r>
              <w:t>配置相应的毒性气体检测设备以用于检测库区车间内有害气体的浓度，定期对员工进行身体健康检查；一旦发生员工中毒事件，必须立即按照相关措施妥善处理，或就近送大医院进行治疗。另外加强员工的防毒教育工作也是必不可少的。</w:t>
            </w:r>
          </w:p>
          <w:p>
            <w:pPr>
              <w:spacing w:line="360" w:lineRule="auto"/>
              <w:ind w:firstLine="480" w:firstLineChars="200"/>
            </w:pPr>
            <w:r>
              <w:t>加强绿化，厂区绿化对改善本项目的环境质量可起到较为重要的作用。厂区绿化以种植吸附能力强的花草树木，厂区道路两边种植乔灌木、松柏等，厂界边缘地带种植杨、槐等高大树种形成多层防护林带，以最大限度地降低无组织排放废气对厂区及周围环境的影响。</w:t>
            </w:r>
          </w:p>
          <w:p>
            <w:pPr>
              <w:spacing w:line="360" w:lineRule="auto"/>
              <w:ind w:firstLine="480" w:firstLineChars="200"/>
            </w:pPr>
            <w:r>
              <w:t>（2）无害化处理恶臭及粉尘</w:t>
            </w:r>
          </w:p>
          <w:p>
            <w:pPr>
              <w:spacing w:line="360" w:lineRule="auto"/>
              <w:ind w:firstLine="480" w:firstLineChars="200"/>
            </w:pPr>
            <w:r>
              <w:t>1）无害化处理恶臭</w:t>
            </w:r>
          </w:p>
          <w:p>
            <w:pPr>
              <w:spacing w:line="360" w:lineRule="auto"/>
              <w:ind w:firstLine="480" w:firstLineChars="200"/>
            </w:pPr>
            <w:r>
              <w:t>本项目的污蒸汽主要来自化制烘干过程。主要成分为：水蒸气、NH3、H2S、臭气浓度和残渣粉等。污蒸汽采用布袋除尘器+生物滤池+15m 排气筒（2#）处理方式。生物滤池就是在滤池内放好一定滤料，当废气从上到下自上滤过的时候，废气与滤料不断接触，这样微生物就可以在滤料表面繁殖再生，形成生物膜。而生物膜就是由各种微生物组成的一个生态膜系统，微生物从废气中吸取污染物作为养料，并能够在代谢过程中获得生存所需的能量，而后形成新的微生物群落。生物膜达到一定厚度时，氧气就不能进入生物膜内部，造成内部的厌氧状态，生物膜的附着力就减弱了。水流冲刷后，生物膜就会脱落，然后在滤料上又长出新的生物膜。经过多次循环，废气就被净化。</w:t>
            </w:r>
          </w:p>
          <w:p>
            <w:pPr>
              <w:spacing w:line="360" w:lineRule="auto"/>
              <w:ind w:firstLine="480" w:firstLineChars="200"/>
            </w:pPr>
            <w:r>
              <w:t>本项目年处理病死冰鲜水产品、食用水生动物、不合格肉类按总处理量的1%计算，则总处理量为45t/a，类比同工艺类型项目，年运行时间为2920h，NH</w:t>
            </w:r>
            <w:r>
              <w:rPr>
                <w:vertAlign w:val="subscript"/>
              </w:rPr>
              <w:t>3</w:t>
            </w:r>
            <w:r>
              <w:t>、H</w:t>
            </w:r>
            <w:r>
              <w:rPr>
                <w:vertAlign w:val="subscript"/>
              </w:rPr>
              <w:t>2</w:t>
            </w:r>
            <w:r>
              <w:t>S产生速率为1.92g/h、0.2g/h，臭气产生浓度为2.33，NH</w:t>
            </w:r>
            <w:r>
              <w:rPr>
                <w:vertAlign w:val="subscript"/>
              </w:rPr>
              <w:t>3</w:t>
            </w:r>
            <w:r>
              <w:t>、H</w:t>
            </w:r>
            <w:r>
              <w:rPr>
                <w:vertAlign w:val="subscript"/>
              </w:rPr>
              <w:t>2</w:t>
            </w:r>
            <w:r>
              <w:t>S产生量分别约为5.61kg/a，0.584kg/a。生物滤池除臭设备净化效率按90%计，则NH</w:t>
            </w:r>
            <w:r>
              <w:rPr>
                <w:vertAlign w:val="subscript"/>
              </w:rPr>
              <w:t>3</w:t>
            </w:r>
            <w:r>
              <w:t>、H</w:t>
            </w:r>
            <w:r>
              <w:rPr>
                <w:vertAlign w:val="subscript"/>
              </w:rPr>
              <w:t>2</w:t>
            </w:r>
            <w:r>
              <w:t>S排放速率约为0.192g/h、0.02g/h，臭气产生浓度约为0.233，NH</w:t>
            </w:r>
            <w:r>
              <w:rPr>
                <w:vertAlign w:val="subscript"/>
              </w:rPr>
              <w:t>3</w:t>
            </w:r>
            <w:r>
              <w:t>、H</w:t>
            </w:r>
            <w:r>
              <w:rPr>
                <w:vertAlign w:val="subscript"/>
              </w:rPr>
              <w:t>2</w:t>
            </w:r>
            <w:r>
              <w:t>S排放量分别约为0.561kg/a，0.0584kg/a。</w:t>
            </w:r>
          </w:p>
          <w:p>
            <w:pPr>
              <w:spacing w:line="360" w:lineRule="auto"/>
              <w:ind w:firstLine="480" w:firstLineChars="200"/>
            </w:pPr>
            <w:r>
              <w:t>2）化制烘干工艺产生的残渣粉</w:t>
            </w:r>
          </w:p>
          <w:p>
            <w:pPr>
              <w:spacing w:line="360" w:lineRule="auto"/>
              <w:ind w:firstLine="480" w:firstLineChars="200"/>
            </w:pPr>
            <w:r>
              <w:t>本项目在化制烘干过程会产生一定的残渣粉。残渣粉经布袋除尘器+生物滤池处理后，由15米排气筒（2#）排放进入大气环境。此部分粉尘产生量较少，类比同类型项目，化制烘干粉尘产生量约为处理量的0.01%，风机风量按 2000m</w:t>
            </w:r>
            <w:r>
              <w:rPr>
                <w:vertAlign w:val="superscript"/>
              </w:rPr>
              <w:t>3</w:t>
            </w:r>
            <w:r>
              <w:t>/h计，则化制粉尘产生量约为4.5kg/a，产生浓度约为0.77mg/m</w:t>
            </w:r>
            <w:r>
              <w:rPr>
                <w:vertAlign w:val="superscript"/>
              </w:rPr>
              <w:t>3</w:t>
            </w:r>
            <w:r>
              <w:t>，粉尘处理效率按95%计算，则本项目粉尘排放量约为0.225kg/a，排放浓度约为0.04mg/m</w:t>
            </w:r>
            <w:r>
              <w:rPr>
                <w:vertAlign w:val="superscript"/>
              </w:rPr>
              <w:t>3</w:t>
            </w:r>
            <w:r>
              <w:t>，可满足《大气污染物综合排放标准》（GB16297-1996）表2中排放标准。</w:t>
            </w:r>
          </w:p>
          <w:p>
            <w:pPr>
              <w:spacing w:line="360" w:lineRule="auto"/>
              <w:ind w:firstLine="480" w:firstLineChars="200"/>
            </w:pPr>
            <w:r>
              <w:t>（3）坏烂水果及肉类恶臭</w:t>
            </w:r>
          </w:p>
          <w:p>
            <w:pPr>
              <w:spacing w:line="360" w:lineRule="auto"/>
              <w:ind w:firstLine="480" w:firstLineChars="200"/>
            </w:pPr>
            <w:r>
              <w:t>恶臭，指一切刺激嗅觉器官并引起人们不愉快及损害生活环境的气体物质，其主要成分为氨、硫化氢、甲硫醇、三甲胺等脂肪族物质。</w:t>
            </w:r>
          </w:p>
          <w:p>
            <w:pPr>
              <w:spacing w:line="360" w:lineRule="auto"/>
              <w:ind w:firstLine="480" w:firstLineChars="200"/>
            </w:pPr>
            <w:r>
              <w:t>本项目恶臭的产生主要是</w:t>
            </w:r>
            <w:r>
              <w:rPr>
                <w:rFonts w:hint="eastAsia"/>
                <w:lang w:eastAsia="zh-CN"/>
              </w:rPr>
              <w:t>腐烂</w:t>
            </w:r>
            <w:r>
              <w:t>水果及肉类恶臭本身发出的异味，这不是恶臭主要来源；有机物腐败分解产生的异味，这是恶臭主要来源，主要恶臭为氨、硫化氢、臭气。有机物腐败产生恶臭程度与季节和气温有很大关系，在夏季气温较高时有机物极易腐败，此时散发的恶臭明显比冬季强烈。</w:t>
            </w:r>
          </w:p>
          <w:p>
            <w:pPr>
              <w:spacing w:line="360" w:lineRule="auto"/>
              <w:ind w:firstLine="480" w:firstLineChars="200"/>
            </w:pPr>
            <w:r>
              <w:t>项目建成后坏烂水果及肉类恶臭如得不到及时处理，会产生少量恶臭。对大气环境造成一定影响，环评要求建设单位对此类固废及时收集处理，避免恶臭对周边环境造成不良影响，其排放浓度较少可满足《恶臭污染物排放标准》（GB14554-1993）表 1 中污染物厂界排放限值（氨：1.5mg/m</w:t>
            </w:r>
            <w:r>
              <w:rPr>
                <w:vertAlign w:val="superscript"/>
              </w:rPr>
              <w:t>3</w:t>
            </w:r>
            <w:r>
              <w:t>，硫化氢0.06mg/m</w:t>
            </w:r>
            <w:r>
              <w:rPr>
                <w:vertAlign w:val="superscript"/>
              </w:rPr>
              <w:t>3</w:t>
            </w:r>
            <w:r>
              <w:t>，臭气浓度20）。</w:t>
            </w:r>
          </w:p>
          <w:p>
            <w:pPr>
              <w:spacing w:line="360" w:lineRule="auto"/>
              <w:rPr>
                <w:b/>
                <w:bCs/>
              </w:rPr>
            </w:pPr>
            <w:r>
              <w:rPr>
                <w:b/>
                <w:bCs/>
              </w:rPr>
              <w:t>2.2.2 非正常工况下废气排放情况</w:t>
            </w:r>
          </w:p>
          <w:p>
            <w:pPr>
              <w:spacing w:line="360" w:lineRule="auto"/>
              <w:ind w:firstLine="480" w:firstLineChars="200"/>
            </w:pPr>
            <w:r>
              <w:t>根据本项目实际情况，本项目废气排放的非正常工况主要发生在污染防治（控制）设施非正常状况，主要为活性炭吸附装置故障，生物滤池除臭设备故障，有机废气未经处理直接排放；布袋除尘器设备故障，导致粉尘直接排放，其排放情况如下表。</w:t>
            </w:r>
          </w:p>
          <w:p>
            <w:pPr>
              <w:topLinePunct/>
              <w:jc w:val="center"/>
              <w:rPr>
                <w:sz w:val="21"/>
                <w:szCs w:val="21"/>
              </w:rPr>
            </w:pPr>
            <w:r>
              <w:rPr>
                <w:b/>
                <w:bCs/>
                <w:sz w:val="21"/>
                <w:szCs w:val="21"/>
                <w:lang w:bidi="ar"/>
              </w:rPr>
              <w:t>表</w:t>
            </w:r>
            <w:r>
              <w:rPr>
                <w:rFonts w:hint="eastAsia"/>
                <w:b/>
                <w:bCs/>
                <w:sz w:val="21"/>
                <w:szCs w:val="21"/>
                <w:lang w:bidi="ar"/>
              </w:rPr>
              <w:t>4-6</w:t>
            </w:r>
            <w:r>
              <w:rPr>
                <w:b/>
                <w:bCs/>
                <w:sz w:val="21"/>
                <w:szCs w:val="21"/>
                <w:lang w:bidi="ar"/>
              </w:rPr>
              <w:t xml:space="preserve">    污染源非正常排放量一览表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28"/>
              <w:gridCol w:w="1048"/>
              <w:gridCol w:w="1746"/>
              <w:gridCol w:w="1289"/>
              <w:gridCol w:w="1238"/>
              <w:gridCol w:w="11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tcBorders>
                    <w:tl2br w:val="nil"/>
                    <w:tr2bl w:val="nil"/>
                  </w:tcBorders>
                  <w:shd w:val="clear" w:color="auto" w:fill="auto"/>
                  <w:vAlign w:val="center"/>
                </w:tcPr>
                <w:p>
                  <w:pPr>
                    <w:pStyle w:val="46"/>
                    <w:jc w:val="center"/>
                    <w:rPr>
                      <w:rFonts w:ascii="Times New Roman" w:hAnsi="Times New Roman" w:eastAsia="宋体" w:cs="Times New Roman"/>
                      <w:b/>
                      <w:bCs/>
                      <w:color w:val="000000"/>
                      <w:kern w:val="0"/>
                      <w:sz w:val="20"/>
                      <w:szCs w:val="20"/>
                      <w:lang w:eastAsia="zh-CN" w:bidi="ar"/>
                    </w:rPr>
                  </w:pPr>
                  <w:r>
                    <w:rPr>
                      <w:rFonts w:ascii="Times New Roman" w:hAnsi="Times New Roman" w:eastAsia="宋体" w:cs="Times New Roman"/>
                      <w:b/>
                      <w:bCs/>
                      <w:color w:val="000000"/>
                      <w:kern w:val="0"/>
                      <w:sz w:val="20"/>
                      <w:szCs w:val="20"/>
                      <w:lang w:eastAsia="zh-CN" w:bidi="ar"/>
                    </w:rPr>
                    <w:t>非正常</w:t>
                  </w:r>
                </w:p>
                <w:p>
                  <w:pPr>
                    <w:pStyle w:val="46"/>
                    <w:jc w:val="center"/>
                    <w:rPr>
                      <w:rFonts w:ascii="Times New Roman" w:hAnsi="Times New Roman" w:eastAsia="宋体" w:cs="Times New Roman"/>
                      <w:b/>
                      <w:bCs/>
                    </w:rPr>
                  </w:pPr>
                  <w:r>
                    <w:rPr>
                      <w:rFonts w:ascii="Times New Roman" w:hAnsi="Times New Roman" w:eastAsia="宋体" w:cs="Times New Roman"/>
                      <w:b/>
                      <w:bCs/>
                      <w:color w:val="000000"/>
                      <w:kern w:val="0"/>
                      <w:sz w:val="20"/>
                      <w:szCs w:val="20"/>
                      <w:lang w:eastAsia="zh-CN" w:bidi="ar"/>
                    </w:rPr>
                    <w:t>排放源</w:t>
                  </w:r>
                </w:p>
              </w:tc>
              <w:tc>
                <w:tcPr>
                  <w:tcW w:w="1005" w:type="dxa"/>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color w:val="000000"/>
                      <w:kern w:val="0"/>
                      <w:sz w:val="20"/>
                      <w:szCs w:val="20"/>
                      <w:lang w:eastAsia="zh-CN" w:bidi="ar"/>
                    </w:rPr>
                    <w:t>污染物</w:t>
                  </w:r>
                </w:p>
              </w:tc>
              <w:tc>
                <w:tcPr>
                  <w:tcW w:w="1675" w:type="dxa"/>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b/>
                      <w:bCs/>
                      <w:color w:val="000000"/>
                      <w:kern w:val="0"/>
                      <w:sz w:val="20"/>
                      <w:szCs w:val="20"/>
                      <w:lang w:eastAsia="zh-CN" w:bidi="ar"/>
                    </w:rPr>
                    <w:t>非正常排放浓度mg/m</w:t>
                  </w:r>
                  <w:r>
                    <w:rPr>
                      <w:rFonts w:ascii="Times New Roman" w:hAnsi="Times New Roman" w:eastAsia="宋体" w:cs="Times New Roman"/>
                      <w:b/>
                      <w:bCs/>
                      <w:color w:val="000000"/>
                      <w:kern w:val="0"/>
                      <w:sz w:val="13"/>
                      <w:szCs w:val="13"/>
                      <w:vertAlign w:val="superscript"/>
                      <w:lang w:eastAsia="zh-CN" w:bidi="ar"/>
                    </w:rPr>
                    <w:t>3</w:t>
                  </w:r>
                </w:p>
              </w:tc>
              <w:tc>
                <w:tcPr>
                  <w:tcW w:w="1237" w:type="dxa"/>
                  <w:tcBorders>
                    <w:tl2br w:val="nil"/>
                    <w:tr2bl w:val="nil"/>
                  </w:tcBorders>
                  <w:shd w:val="clear" w:color="auto" w:fill="auto"/>
                  <w:vAlign w:val="center"/>
                </w:tcPr>
                <w:p>
                  <w:pPr>
                    <w:widowControl/>
                    <w:jc w:val="center"/>
                    <w:rPr>
                      <w:b/>
                      <w:bCs/>
                      <w:sz w:val="21"/>
                      <w:szCs w:val="21"/>
                    </w:rPr>
                  </w:pPr>
                  <w:r>
                    <w:rPr>
                      <w:b/>
                      <w:bCs/>
                      <w:color w:val="000000"/>
                      <w:kern w:val="0"/>
                      <w:sz w:val="20"/>
                      <w:szCs w:val="20"/>
                      <w:lang w:bidi="ar"/>
                    </w:rPr>
                    <w:t>非正常排放速率 kg/h</w:t>
                  </w:r>
                </w:p>
              </w:tc>
              <w:tc>
                <w:tcPr>
                  <w:tcW w:w="1188" w:type="dxa"/>
                  <w:tcBorders>
                    <w:tl2br w:val="nil"/>
                    <w:tr2bl w:val="nil"/>
                  </w:tcBorders>
                  <w:shd w:val="clear" w:color="auto" w:fill="auto"/>
                  <w:vAlign w:val="center"/>
                </w:tcPr>
                <w:p>
                  <w:pPr>
                    <w:widowControl/>
                    <w:jc w:val="center"/>
                    <w:rPr>
                      <w:b/>
                      <w:bCs/>
                      <w:sz w:val="21"/>
                      <w:szCs w:val="21"/>
                    </w:rPr>
                  </w:pPr>
                  <w:r>
                    <w:rPr>
                      <w:b/>
                      <w:bCs/>
                      <w:color w:val="000000"/>
                      <w:kern w:val="0"/>
                      <w:sz w:val="20"/>
                      <w:szCs w:val="20"/>
                      <w:lang w:bidi="ar"/>
                    </w:rPr>
                    <w:t>单次持续时间</w:t>
                  </w:r>
                </w:p>
              </w:tc>
              <w:tc>
                <w:tcPr>
                  <w:tcW w:w="1146" w:type="dxa"/>
                  <w:tcBorders>
                    <w:tl2br w:val="nil"/>
                    <w:tr2bl w:val="nil"/>
                  </w:tcBorders>
                  <w:shd w:val="clear" w:color="auto" w:fill="auto"/>
                  <w:vAlign w:val="center"/>
                </w:tcPr>
                <w:p>
                  <w:pPr>
                    <w:widowControl/>
                    <w:jc w:val="center"/>
                    <w:rPr>
                      <w:b/>
                      <w:bCs/>
                      <w:color w:val="000000"/>
                      <w:kern w:val="0"/>
                      <w:sz w:val="20"/>
                      <w:szCs w:val="20"/>
                      <w:lang w:bidi="ar"/>
                    </w:rPr>
                  </w:pPr>
                  <w:r>
                    <w:rPr>
                      <w:b/>
                      <w:bCs/>
                      <w:color w:val="000000"/>
                      <w:kern w:val="0"/>
                      <w:sz w:val="20"/>
                      <w:szCs w:val="20"/>
                      <w:lang w:bidi="ar"/>
                    </w:rPr>
                    <w:t>年发生</w:t>
                  </w:r>
                </w:p>
                <w:p>
                  <w:pPr>
                    <w:widowControl/>
                    <w:jc w:val="center"/>
                    <w:rPr>
                      <w:b/>
                      <w:bCs/>
                      <w:sz w:val="21"/>
                      <w:szCs w:val="21"/>
                    </w:rPr>
                  </w:pPr>
                  <w:r>
                    <w:rPr>
                      <w:b/>
                      <w:bCs/>
                      <w:color w:val="000000"/>
                      <w:kern w:val="0"/>
                      <w:sz w:val="20"/>
                      <w:szCs w:val="20"/>
                      <w:lang w:bidi="ar"/>
                    </w:rPr>
                    <w:t>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tcBorders>
                    <w:tl2br w:val="nil"/>
                    <w:tr2bl w:val="nil"/>
                  </w:tcBorders>
                  <w:shd w:val="clear" w:color="auto" w:fill="auto"/>
                  <w:vAlign w:val="center"/>
                </w:tcPr>
                <w:p>
                  <w:pPr>
                    <w:jc w:val="center"/>
                    <w:rPr>
                      <w:sz w:val="21"/>
                      <w:szCs w:val="21"/>
                    </w:rPr>
                  </w:pPr>
                  <w:r>
                    <w:rPr>
                      <w:color w:val="000000"/>
                      <w:kern w:val="0"/>
                      <w:sz w:val="20"/>
                      <w:szCs w:val="20"/>
                      <w:lang w:bidi="ar"/>
                    </w:rPr>
                    <w:t>熏蒸废气</w:t>
                  </w:r>
                </w:p>
              </w:tc>
              <w:tc>
                <w:tcPr>
                  <w:tcW w:w="1005" w:type="dxa"/>
                  <w:tcBorders>
                    <w:tl2br w:val="nil"/>
                    <w:tr2bl w:val="nil"/>
                  </w:tcBorders>
                  <w:shd w:val="clear" w:color="auto" w:fill="auto"/>
                  <w:vAlign w:val="center"/>
                </w:tcPr>
                <w:p>
                  <w:pPr>
                    <w:pStyle w:val="46"/>
                    <w:jc w:val="center"/>
                    <w:outlineLvl w:val="1"/>
                    <w:rPr>
                      <w:rFonts w:ascii="Times New Roman" w:hAnsi="Times New Roman" w:eastAsia="宋体" w:cs="Times New Roman"/>
                      <w:lang w:eastAsia="zh-CN"/>
                    </w:rPr>
                  </w:pPr>
                  <w:r>
                    <w:rPr>
                      <w:rFonts w:ascii="Times New Roman" w:hAnsi="Times New Roman" w:eastAsia="宋体" w:cs="Times New Roman"/>
                      <w:color w:val="000000"/>
                      <w:kern w:val="0"/>
                      <w:sz w:val="20"/>
                      <w:szCs w:val="20"/>
                      <w:lang w:eastAsia="zh-CN" w:bidi="ar"/>
                    </w:rPr>
                    <w:t>溴甲烷</w:t>
                  </w:r>
                </w:p>
              </w:tc>
              <w:tc>
                <w:tcPr>
                  <w:tcW w:w="1675" w:type="dxa"/>
                  <w:tcBorders>
                    <w:tl2br w:val="nil"/>
                    <w:tr2bl w:val="nil"/>
                  </w:tcBorders>
                  <w:shd w:val="clear" w:color="auto" w:fill="auto"/>
                  <w:vAlign w:val="center"/>
                </w:tcPr>
                <w:p>
                  <w:pPr>
                    <w:jc w:val="center"/>
                    <w:rPr>
                      <w:sz w:val="21"/>
                      <w:szCs w:val="21"/>
                    </w:rPr>
                  </w:pPr>
                  <w:r>
                    <w:rPr>
                      <w:color w:val="000000"/>
                      <w:kern w:val="0"/>
                      <w:sz w:val="20"/>
                      <w:szCs w:val="20"/>
                      <w:lang w:bidi="ar"/>
                    </w:rPr>
                    <w:t>96</w:t>
                  </w:r>
                </w:p>
              </w:tc>
              <w:tc>
                <w:tcPr>
                  <w:tcW w:w="1237" w:type="dxa"/>
                  <w:tcBorders>
                    <w:tl2br w:val="nil"/>
                    <w:tr2bl w:val="nil"/>
                  </w:tcBorders>
                  <w:shd w:val="clear" w:color="auto" w:fill="auto"/>
                  <w:vAlign w:val="center"/>
                </w:tcPr>
                <w:p>
                  <w:pPr>
                    <w:jc w:val="center"/>
                    <w:rPr>
                      <w:sz w:val="21"/>
                      <w:szCs w:val="21"/>
                    </w:rPr>
                  </w:pPr>
                  <w:r>
                    <w:rPr>
                      <w:color w:val="000000"/>
                      <w:kern w:val="0"/>
                      <w:sz w:val="20"/>
                      <w:szCs w:val="20"/>
                      <w:lang w:bidi="ar"/>
                    </w:rPr>
                    <w:t>0.144</w:t>
                  </w:r>
                </w:p>
              </w:tc>
              <w:tc>
                <w:tcPr>
                  <w:tcW w:w="1188" w:type="dxa"/>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color w:val="000000"/>
                      <w:kern w:val="0"/>
                      <w:sz w:val="20"/>
                      <w:szCs w:val="20"/>
                      <w:lang w:eastAsia="zh-CN" w:bidi="ar"/>
                    </w:rPr>
                    <w:t>1h</w:t>
                  </w:r>
                </w:p>
              </w:tc>
              <w:tc>
                <w:tcPr>
                  <w:tcW w:w="1146" w:type="dxa"/>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color w:val="000000"/>
                      <w:kern w:val="0"/>
                      <w:sz w:val="20"/>
                      <w:szCs w:val="20"/>
                      <w:lang w:eastAsia="zh-CN" w:bidi="ar"/>
                    </w:rPr>
                    <w:t>1次/年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vMerge w:val="restart"/>
                  <w:tcBorders>
                    <w:tl2br w:val="nil"/>
                    <w:tr2bl w:val="nil"/>
                  </w:tcBorders>
                  <w:shd w:val="clear" w:color="auto" w:fill="auto"/>
                  <w:vAlign w:val="center"/>
                </w:tcPr>
                <w:p>
                  <w:pPr>
                    <w:jc w:val="center"/>
                    <w:rPr>
                      <w:sz w:val="21"/>
                      <w:szCs w:val="21"/>
                      <w:lang w:bidi="ar"/>
                    </w:rPr>
                  </w:pPr>
                  <w:r>
                    <w:rPr>
                      <w:color w:val="000000"/>
                      <w:kern w:val="0"/>
                      <w:sz w:val="20"/>
                      <w:szCs w:val="20"/>
                      <w:lang w:bidi="ar"/>
                    </w:rPr>
                    <w:t>化制烘干废气</w:t>
                  </w:r>
                </w:p>
              </w:tc>
              <w:tc>
                <w:tcPr>
                  <w:tcW w:w="1005"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NH</w:t>
                  </w:r>
                  <w:r>
                    <w:rPr>
                      <w:rFonts w:ascii="Times New Roman" w:hAnsi="Times New Roman" w:eastAsia="宋体" w:cs="Times New Roman"/>
                      <w:color w:val="000000"/>
                      <w:kern w:val="0"/>
                      <w:sz w:val="13"/>
                      <w:szCs w:val="13"/>
                      <w:lang w:eastAsia="zh-CN" w:bidi="ar"/>
                    </w:rPr>
                    <w:t>3</w:t>
                  </w:r>
                </w:p>
              </w:tc>
              <w:tc>
                <w:tcPr>
                  <w:tcW w:w="1675" w:type="dxa"/>
                  <w:tcBorders>
                    <w:tl2br w:val="nil"/>
                    <w:tr2bl w:val="nil"/>
                  </w:tcBorders>
                  <w:shd w:val="clear" w:color="auto" w:fill="auto"/>
                  <w:vAlign w:val="center"/>
                </w:tcPr>
                <w:p>
                  <w:pPr>
                    <w:widowControl/>
                    <w:jc w:val="center"/>
                    <w:rPr>
                      <w:sz w:val="21"/>
                      <w:szCs w:val="21"/>
                      <w:lang w:bidi="ar"/>
                    </w:rPr>
                  </w:pPr>
                  <w:r>
                    <w:rPr>
                      <w:color w:val="000000"/>
                      <w:kern w:val="0"/>
                      <w:sz w:val="20"/>
                      <w:szCs w:val="20"/>
                      <w:lang w:bidi="ar"/>
                    </w:rPr>
                    <w:t>/</w:t>
                  </w:r>
                </w:p>
              </w:tc>
              <w:tc>
                <w:tcPr>
                  <w:tcW w:w="1237"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0.00192</w:t>
                  </w:r>
                </w:p>
              </w:tc>
              <w:tc>
                <w:tcPr>
                  <w:tcW w:w="1188"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1h</w:t>
                  </w:r>
                </w:p>
              </w:tc>
              <w:tc>
                <w:tcPr>
                  <w:tcW w:w="1146"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1次/年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vMerge w:val="continue"/>
                  <w:tcBorders>
                    <w:tl2br w:val="nil"/>
                    <w:tr2bl w:val="nil"/>
                  </w:tcBorders>
                  <w:shd w:val="clear" w:color="auto" w:fill="auto"/>
                  <w:vAlign w:val="center"/>
                </w:tcPr>
                <w:p>
                  <w:pPr>
                    <w:jc w:val="center"/>
                    <w:rPr>
                      <w:color w:val="000000"/>
                      <w:kern w:val="0"/>
                      <w:sz w:val="20"/>
                      <w:szCs w:val="20"/>
                      <w:lang w:bidi="ar"/>
                    </w:rPr>
                  </w:pPr>
                </w:p>
              </w:tc>
              <w:tc>
                <w:tcPr>
                  <w:tcW w:w="1005"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H</w:t>
                  </w:r>
                  <w:r>
                    <w:rPr>
                      <w:rFonts w:ascii="Times New Roman" w:hAnsi="Times New Roman" w:eastAsia="宋体" w:cs="Times New Roman"/>
                      <w:color w:val="000000"/>
                      <w:kern w:val="0"/>
                      <w:sz w:val="13"/>
                      <w:szCs w:val="13"/>
                      <w:lang w:eastAsia="zh-CN" w:bidi="ar"/>
                    </w:rPr>
                    <w:t>2</w:t>
                  </w:r>
                  <w:r>
                    <w:rPr>
                      <w:rFonts w:ascii="Times New Roman" w:hAnsi="Times New Roman" w:eastAsia="宋体" w:cs="Times New Roman"/>
                      <w:color w:val="000000"/>
                      <w:kern w:val="0"/>
                      <w:sz w:val="20"/>
                      <w:szCs w:val="20"/>
                      <w:lang w:eastAsia="zh-CN" w:bidi="ar"/>
                    </w:rPr>
                    <w:t>S</w:t>
                  </w:r>
                </w:p>
              </w:tc>
              <w:tc>
                <w:tcPr>
                  <w:tcW w:w="1675" w:type="dxa"/>
                  <w:tcBorders>
                    <w:tl2br w:val="nil"/>
                    <w:tr2bl w:val="nil"/>
                  </w:tcBorders>
                  <w:shd w:val="clear" w:color="auto" w:fill="auto"/>
                  <w:vAlign w:val="center"/>
                </w:tcPr>
                <w:p>
                  <w:pPr>
                    <w:widowControl/>
                    <w:jc w:val="center"/>
                    <w:rPr>
                      <w:sz w:val="21"/>
                      <w:szCs w:val="21"/>
                      <w:lang w:bidi="ar"/>
                    </w:rPr>
                  </w:pPr>
                  <w:r>
                    <w:rPr>
                      <w:color w:val="000000"/>
                      <w:kern w:val="0"/>
                      <w:sz w:val="20"/>
                      <w:szCs w:val="20"/>
                      <w:lang w:bidi="ar"/>
                    </w:rPr>
                    <w:t>/</w:t>
                  </w:r>
                </w:p>
              </w:tc>
              <w:tc>
                <w:tcPr>
                  <w:tcW w:w="1237"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0.0002</w:t>
                  </w:r>
                </w:p>
              </w:tc>
              <w:tc>
                <w:tcPr>
                  <w:tcW w:w="1188"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1h</w:t>
                  </w:r>
                </w:p>
              </w:tc>
              <w:tc>
                <w:tcPr>
                  <w:tcW w:w="1146"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1次/年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vMerge w:val="continue"/>
                  <w:tcBorders>
                    <w:tl2br w:val="nil"/>
                    <w:tr2bl w:val="nil"/>
                  </w:tcBorders>
                  <w:shd w:val="clear" w:color="auto" w:fill="auto"/>
                  <w:vAlign w:val="center"/>
                </w:tcPr>
                <w:p>
                  <w:pPr>
                    <w:jc w:val="center"/>
                    <w:rPr>
                      <w:color w:val="000000"/>
                      <w:kern w:val="0"/>
                      <w:sz w:val="20"/>
                      <w:szCs w:val="20"/>
                      <w:lang w:bidi="ar"/>
                    </w:rPr>
                  </w:pPr>
                </w:p>
              </w:tc>
              <w:tc>
                <w:tcPr>
                  <w:tcW w:w="1005" w:type="dxa"/>
                  <w:tcBorders>
                    <w:tl2br w:val="nil"/>
                    <w:tr2bl w:val="nil"/>
                  </w:tcBorders>
                  <w:shd w:val="clear" w:color="auto" w:fill="auto"/>
                  <w:vAlign w:val="center"/>
                </w:tcPr>
                <w:p>
                  <w:pPr>
                    <w:widowControl/>
                    <w:jc w:val="center"/>
                    <w:rPr>
                      <w:sz w:val="21"/>
                      <w:szCs w:val="21"/>
                      <w:lang w:bidi="ar"/>
                    </w:rPr>
                  </w:pPr>
                  <w:r>
                    <w:rPr>
                      <w:color w:val="000000"/>
                      <w:kern w:val="0"/>
                      <w:sz w:val="20"/>
                      <w:szCs w:val="20"/>
                      <w:lang w:bidi="ar"/>
                    </w:rPr>
                    <w:t>臭气</w:t>
                  </w:r>
                </w:p>
              </w:tc>
              <w:tc>
                <w:tcPr>
                  <w:tcW w:w="1675"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2.33</w:t>
                  </w:r>
                </w:p>
              </w:tc>
              <w:tc>
                <w:tcPr>
                  <w:tcW w:w="1237"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w:t>
                  </w:r>
                </w:p>
              </w:tc>
              <w:tc>
                <w:tcPr>
                  <w:tcW w:w="1188"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1h</w:t>
                  </w:r>
                </w:p>
              </w:tc>
              <w:tc>
                <w:tcPr>
                  <w:tcW w:w="1146"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1次/年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178" w:type="dxa"/>
                  <w:tcBorders>
                    <w:tl2br w:val="nil"/>
                    <w:tr2bl w:val="nil"/>
                  </w:tcBorders>
                  <w:shd w:val="clear" w:color="auto" w:fill="auto"/>
                  <w:vAlign w:val="center"/>
                </w:tcPr>
                <w:p>
                  <w:pPr>
                    <w:jc w:val="center"/>
                    <w:rPr>
                      <w:color w:val="000000"/>
                      <w:kern w:val="0"/>
                      <w:sz w:val="20"/>
                      <w:szCs w:val="20"/>
                      <w:lang w:bidi="ar"/>
                    </w:rPr>
                  </w:pPr>
                  <w:r>
                    <w:rPr>
                      <w:color w:val="000000"/>
                      <w:kern w:val="0"/>
                      <w:sz w:val="20"/>
                      <w:szCs w:val="20"/>
                      <w:lang w:bidi="ar"/>
                    </w:rPr>
                    <w:t>化制烘干粉尘</w:t>
                  </w:r>
                </w:p>
              </w:tc>
              <w:tc>
                <w:tcPr>
                  <w:tcW w:w="1005"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颗粒物</w:t>
                  </w:r>
                </w:p>
              </w:tc>
              <w:tc>
                <w:tcPr>
                  <w:tcW w:w="1675"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0.77</w:t>
                  </w:r>
                </w:p>
              </w:tc>
              <w:tc>
                <w:tcPr>
                  <w:tcW w:w="1237" w:type="dxa"/>
                  <w:tcBorders>
                    <w:tl2br w:val="nil"/>
                    <w:tr2bl w:val="nil"/>
                  </w:tcBorders>
                  <w:shd w:val="clear" w:color="auto" w:fill="auto"/>
                  <w:vAlign w:val="center"/>
                </w:tcPr>
                <w:p>
                  <w:pPr>
                    <w:jc w:val="center"/>
                    <w:rPr>
                      <w:sz w:val="21"/>
                      <w:szCs w:val="21"/>
                      <w:lang w:bidi="ar"/>
                    </w:rPr>
                  </w:pPr>
                  <w:r>
                    <w:rPr>
                      <w:color w:val="000000"/>
                      <w:kern w:val="0"/>
                      <w:sz w:val="20"/>
                      <w:szCs w:val="20"/>
                      <w:lang w:bidi="ar"/>
                    </w:rPr>
                    <w:t>0.0015</w:t>
                  </w:r>
                </w:p>
              </w:tc>
              <w:tc>
                <w:tcPr>
                  <w:tcW w:w="1188"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1h</w:t>
                  </w:r>
                </w:p>
              </w:tc>
              <w:tc>
                <w:tcPr>
                  <w:tcW w:w="1146" w:type="dxa"/>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1次/年</w:t>
                  </w:r>
                </w:p>
              </w:tc>
            </w:tr>
          </w:tbl>
          <w:p>
            <w:pPr>
              <w:spacing w:before="120" w:beforeLines="50" w:line="360" w:lineRule="auto"/>
              <w:rPr>
                <w:b/>
                <w:bCs/>
              </w:rPr>
            </w:pPr>
            <w:r>
              <w:rPr>
                <w:b/>
                <w:bCs/>
              </w:rPr>
              <w:t>2.2.3 废气监测要求</w:t>
            </w:r>
          </w:p>
          <w:p>
            <w:pPr>
              <w:spacing w:line="360" w:lineRule="auto"/>
              <w:ind w:firstLine="480" w:firstLineChars="200"/>
            </w:pPr>
            <w:r>
              <w:t>对项目运营过程中产生的废气进行监测，监测点的选取、监测项目确定均按《排污单位自行监测指南》执行。建设单位现不具备单独进行环境监测的能力，委托有资质的环境监测机构进行监测工作。依据《排污许可证申请与核发技术规范 总则》（HJ942-2018）和项目内容、企业实际情况，制定相应的监测方案。废气监测计划具体如表</w:t>
            </w:r>
            <w:r>
              <w:rPr>
                <w:rFonts w:hint="eastAsia"/>
              </w:rPr>
              <w:t>4-</w:t>
            </w:r>
            <w:r>
              <w:t>7 所示</w:t>
            </w:r>
          </w:p>
          <w:p>
            <w:pPr>
              <w:topLinePunct/>
              <w:jc w:val="center"/>
              <w:rPr>
                <w:sz w:val="21"/>
                <w:szCs w:val="21"/>
              </w:rPr>
            </w:pPr>
            <w:r>
              <w:rPr>
                <w:b/>
                <w:bCs/>
                <w:sz w:val="21"/>
                <w:szCs w:val="21"/>
                <w:lang w:bidi="ar"/>
              </w:rPr>
              <w:t>表</w:t>
            </w:r>
            <w:r>
              <w:rPr>
                <w:rFonts w:hint="eastAsia"/>
                <w:b/>
                <w:bCs/>
                <w:sz w:val="21"/>
                <w:szCs w:val="21"/>
                <w:lang w:bidi="ar"/>
              </w:rPr>
              <w:t>4-</w:t>
            </w:r>
            <w:r>
              <w:rPr>
                <w:b/>
                <w:bCs/>
                <w:sz w:val="21"/>
                <w:szCs w:val="21"/>
                <w:lang w:bidi="ar"/>
              </w:rPr>
              <w:t>7     废气常规监测计划表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536"/>
              <w:gridCol w:w="2621"/>
              <w:gridCol w:w="1525"/>
              <w:gridCol w:w="206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color w:val="auto"/>
                      <w:kern w:val="0"/>
                      <w:sz w:val="20"/>
                      <w:szCs w:val="20"/>
                      <w:lang w:eastAsia="zh-CN" w:bidi="ar"/>
                    </w:rPr>
                    <w:t>监测点</w:t>
                  </w:r>
                </w:p>
              </w:tc>
              <w:tc>
                <w:tcPr>
                  <w:tcW w:w="1692"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color w:val="auto"/>
                      <w:kern w:val="0"/>
                      <w:sz w:val="20"/>
                      <w:szCs w:val="20"/>
                      <w:lang w:eastAsia="zh-CN" w:bidi="ar"/>
                    </w:rPr>
                    <w:t>监测频次</w:t>
                  </w:r>
                </w:p>
              </w:tc>
              <w:tc>
                <w:tcPr>
                  <w:tcW w:w="985"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color w:val="auto"/>
                      <w:kern w:val="0"/>
                      <w:sz w:val="20"/>
                      <w:szCs w:val="20"/>
                      <w:lang w:eastAsia="zh-CN" w:bidi="ar"/>
                    </w:rPr>
                    <w:t>监测项目</w:t>
                  </w:r>
                </w:p>
              </w:tc>
              <w:tc>
                <w:tcPr>
                  <w:tcW w:w="1331"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color w:val="auto"/>
                      <w:kern w:val="0"/>
                      <w:sz w:val="20"/>
                      <w:szCs w:val="20"/>
                      <w:lang w:eastAsia="zh-CN" w:bidi="ar"/>
                    </w:rPr>
                    <w:t>执行标准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pPr>
                    <w:jc w:val="center"/>
                    <w:rPr>
                      <w:color w:val="auto"/>
                      <w:sz w:val="21"/>
                      <w:szCs w:val="21"/>
                    </w:rPr>
                  </w:pPr>
                  <w:r>
                    <w:rPr>
                      <w:color w:val="auto"/>
                      <w:kern w:val="0"/>
                      <w:sz w:val="20"/>
                      <w:szCs w:val="20"/>
                      <w:lang w:bidi="ar"/>
                    </w:rPr>
                    <w:t>1#排气筒</w:t>
                  </w:r>
                </w:p>
              </w:tc>
              <w:tc>
                <w:tcPr>
                  <w:tcW w:w="1692" w:type="pct"/>
                  <w:tcBorders>
                    <w:tl2br w:val="nil"/>
                    <w:tr2bl w:val="nil"/>
                  </w:tcBorders>
                  <w:shd w:val="clear" w:color="auto" w:fill="auto"/>
                  <w:vAlign w:val="center"/>
                </w:tcPr>
                <w:p>
                  <w:pPr>
                    <w:pStyle w:val="46"/>
                    <w:jc w:val="center"/>
                    <w:outlineLvl w:val="1"/>
                    <w:rPr>
                      <w:rFonts w:ascii="Times New Roman" w:hAnsi="Times New Roman" w:eastAsia="宋体" w:cs="Times New Roman"/>
                      <w:color w:val="auto"/>
                    </w:rPr>
                  </w:pPr>
                  <w:r>
                    <w:rPr>
                      <w:rFonts w:ascii="Times New Roman" w:hAnsi="Times New Roman" w:eastAsia="宋体" w:cs="Times New Roman"/>
                      <w:color w:val="auto"/>
                      <w:kern w:val="0"/>
                      <w:sz w:val="20"/>
                      <w:szCs w:val="20"/>
                      <w:lang w:eastAsia="zh-CN" w:bidi="ar"/>
                    </w:rPr>
                    <w:t>每年监测 1 次</w:t>
                  </w:r>
                </w:p>
              </w:tc>
              <w:tc>
                <w:tcPr>
                  <w:tcW w:w="985" w:type="pct"/>
                  <w:tcBorders>
                    <w:tl2br w:val="nil"/>
                    <w:tr2bl w:val="nil"/>
                  </w:tcBorders>
                  <w:shd w:val="clear" w:color="auto" w:fill="auto"/>
                  <w:vAlign w:val="center"/>
                </w:tcPr>
                <w:p>
                  <w:pPr>
                    <w:jc w:val="center"/>
                    <w:rPr>
                      <w:color w:val="auto"/>
                      <w:sz w:val="21"/>
                      <w:szCs w:val="21"/>
                    </w:rPr>
                  </w:pPr>
                  <w:r>
                    <w:rPr>
                      <w:color w:val="auto"/>
                      <w:kern w:val="0"/>
                      <w:sz w:val="20"/>
                      <w:szCs w:val="20"/>
                      <w:lang w:bidi="ar"/>
                    </w:rPr>
                    <w:t>溴甲烷</w:t>
                  </w:r>
                </w:p>
              </w:tc>
              <w:tc>
                <w:tcPr>
                  <w:tcW w:w="1331" w:type="pct"/>
                  <w:tcBorders>
                    <w:tl2br w:val="nil"/>
                    <w:tr2bl w:val="nil"/>
                  </w:tcBorders>
                  <w:shd w:val="clear" w:color="auto" w:fill="auto"/>
                  <w:vAlign w:val="center"/>
                </w:tcPr>
                <w:p>
                  <w:pPr>
                    <w:widowControl/>
                    <w:jc w:val="left"/>
                    <w:rPr>
                      <w:color w:val="auto"/>
                    </w:rPr>
                  </w:pPr>
                  <w:r>
                    <w:rPr>
                      <w:color w:val="auto"/>
                      <w:kern w:val="0"/>
                      <w:sz w:val="20"/>
                      <w:szCs w:val="20"/>
                      <w:lang w:bidi="ar"/>
                    </w:rPr>
                    <w:t>《工作场所有害因素职业接触限值化学有害因素》</w:t>
                  </w:r>
                </w:p>
                <w:p>
                  <w:pPr>
                    <w:jc w:val="center"/>
                    <w:rPr>
                      <w:color w:val="auto"/>
                      <w:sz w:val="21"/>
                      <w:szCs w:val="21"/>
                    </w:rPr>
                  </w:pPr>
                  <w:r>
                    <w:rPr>
                      <w:color w:val="auto"/>
                      <w:kern w:val="0"/>
                      <w:sz w:val="20"/>
                      <w:szCs w:val="20"/>
                      <w:lang w:bidi="ar"/>
                    </w:rPr>
                    <w:t>（GBZ2.1-2007）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2#排气筒</w:t>
                  </w:r>
                </w:p>
              </w:tc>
              <w:tc>
                <w:tcPr>
                  <w:tcW w:w="1692" w:type="pct"/>
                  <w:tcBorders>
                    <w:tl2br w:val="nil"/>
                    <w:tr2bl w:val="nil"/>
                  </w:tcBorders>
                  <w:shd w:val="clear" w:color="auto" w:fill="auto"/>
                  <w:vAlign w:val="center"/>
                </w:tcPr>
                <w:p>
                  <w:pPr>
                    <w:widowControl/>
                    <w:jc w:val="center"/>
                    <w:rPr>
                      <w:color w:val="auto"/>
                      <w:sz w:val="21"/>
                      <w:szCs w:val="21"/>
                      <w:lang w:bidi="ar"/>
                    </w:rPr>
                  </w:pPr>
                  <w:r>
                    <w:rPr>
                      <w:color w:val="auto"/>
                      <w:kern w:val="0"/>
                      <w:sz w:val="20"/>
                      <w:szCs w:val="20"/>
                      <w:lang w:bidi="ar"/>
                    </w:rPr>
                    <w:t>每年监测1次</w:t>
                  </w:r>
                </w:p>
              </w:tc>
              <w:tc>
                <w:tcPr>
                  <w:tcW w:w="985" w:type="pct"/>
                  <w:tcBorders>
                    <w:tl2br w:val="nil"/>
                    <w:tr2bl w:val="nil"/>
                  </w:tcBorders>
                  <w:shd w:val="clear" w:color="auto" w:fill="auto"/>
                  <w:vAlign w:val="center"/>
                </w:tcPr>
                <w:p>
                  <w:pPr>
                    <w:widowControl/>
                    <w:jc w:val="left"/>
                    <w:rPr>
                      <w:color w:val="auto"/>
                    </w:rPr>
                  </w:pPr>
                  <w:r>
                    <w:rPr>
                      <w:color w:val="auto"/>
                      <w:kern w:val="0"/>
                      <w:sz w:val="20"/>
                      <w:szCs w:val="20"/>
                      <w:lang w:bidi="ar"/>
                    </w:rPr>
                    <w:t>氨、硫化氢、臭</w:t>
                  </w:r>
                </w:p>
                <w:p>
                  <w:pPr>
                    <w:jc w:val="center"/>
                    <w:rPr>
                      <w:color w:val="auto"/>
                      <w:sz w:val="21"/>
                      <w:szCs w:val="21"/>
                      <w:lang w:bidi="ar"/>
                    </w:rPr>
                  </w:pPr>
                  <w:r>
                    <w:rPr>
                      <w:color w:val="auto"/>
                      <w:kern w:val="0"/>
                      <w:sz w:val="20"/>
                      <w:szCs w:val="20"/>
                      <w:lang w:bidi="ar"/>
                    </w:rPr>
                    <w:t>气浓度、粉尘</w:t>
                  </w:r>
                </w:p>
              </w:tc>
              <w:tc>
                <w:tcPr>
                  <w:tcW w:w="1331" w:type="pct"/>
                  <w:tcBorders>
                    <w:tl2br w:val="nil"/>
                    <w:tr2bl w:val="nil"/>
                  </w:tcBorders>
                  <w:shd w:val="clear" w:color="auto" w:fill="auto"/>
                  <w:vAlign w:val="center"/>
                </w:tcPr>
                <w:p>
                  <w:pPr>
                    <w:widowControl/>
                    <w:jc w:val="left"/>
                    <w:rPr>
                      <w:color w:val="auto"/>
                      <w:sz w:val="21"/>
                      <w:szCs w:val="21"/>
                      <w:lang w:bidi="ar"/>
                    </w:rPr>
                  </w:pPr>
                  <w:r>
                    <w:rPr>
                      <w:color w:val="auto"/>
                      <w:kern w:val="0"/>
                      <w:sz w:val="20"/>
                      <w:szCs w:val="20"/>
                      <w:lang w:bidi="ar"/>
                    </w:rPr>
                    <w:t>《恶臭污染物排放标准》（GB14554-1993）、《大气污染物综合排放标准》（GB16297-1996）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91" w:type="pct"/>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厂界</w:t>
                  </w:r>
                </w:p>
              </w:tc>
              <w:tc>
                <w:tcPr>
                  <w:tcW w:w="1692" w:type="pct"/>
                  <w:tcBorders>
                    <w:tl2br w:val="nil"/>
                    <w:tr2bl w:val="nil"/>
                  </w:tcBorders>
                  <w:shd w:val="clear" w:color="auto" w:fill="auto"/>
                  <w:vAlign w:val="center"/>
                </w:tcPr>
                <w:p>
                  <w:pPr>
                    <w:widowControl/>
                    <w:jc w:val="left"/>
                    <w:rPr>
                      <w:color w:val="auto"/>
                      <w:sz w:val="21"/>
                      <w:szCs w:val="21"/>
                      <w:lang w:bidi="ar"/>
                    </w:rPr>
                  </w:pPr>
                  <w:r>
                    <w:rPr>
                      <w:color w:val="auto"/>
                      <w:kern w:val="0"/>
                      <w:sz w:val="20"/>
                      <w:szCs w:val="20"/>
                      <w:lang w:bidi="ar"/>
                    </w:rPr>
                    <w:t>每年监测1次</w:t>
                  </w:r>
                </w:p>
              </w:tc>
              <w:tc>
                <w:tcPr>
                  <w:tcW w:w="985" w:type="pct"/>
                  <w:tcBorders>
                    <w:tl2br w:val="nil"/>
                    <w:tr2bl w:val="nil"/>
                  </w:tcBorders>
                  <w:shd w:val="clear" w:color="auto" w:fill="auto"/>
                  <w:vAlign w:val="center"/>
                </w:tcPr>
                <w:p>
                  <w:pPr>
                    <w:widowControl/>
                    <w:jc w:val="left"/>
                    <w:rPr>
                      <w:color w:val="auto"/>
                    </w:rPr>
                  </w:pPr>
                  <w:r>
                    <w:rPr>
                      <w:color w:val="auto"/>
                      <w:kern w:val="0"/>
                      <w:sz w:val="20"/>
                      <w:szCs w:val="20"/>
                      <w:lang w:bidi="ar"/>
                    </w:rPr>
                    <w:t>氨、硫化氢、臭</w:t>
                  </w:r>
                </w:p>
                <w:p>
                  <w:pPr>
                    <w:jc w:val="center"/>
                    <w:rPr>
                      <w:color w:val="auto"/>
                      <w:sz w:val="21"/>
                      <w:szCs w:val="21"/>
                      <w:lang w:bidi="ar"/>
                    </w:rPr>
                  </w:pPr>
                  <w:r>
                    <w:rPr>
                      <w:color w:val="auto"/>
                      <w:kern w:val="0"/>
                      <w:sz w:val="20"/>
                      <w:szCs w:val="20"/>
                      <w:lang w:bidi="ar"/>
                    </w:rPr>
                    <w:t>气浓度、溴甲烷</w:t>
                  </w:r>
                </w:p>
              </w:tc>
              <w:tc>
                <w:tcPr>
                  <w:tcW w:w="1331" w:type="pct"/>
                  <w:tcBorders>
                    <w:tl2br w:val="nil"/>
                    <w:tr2bl w:val="nil"/>
                  </w:tcBorders>
                  <w:shd w:val="clear" w:color="auto" w:fill="auto"/>
                  <w:vAlign w:val="center"/>
                </w:tcPr>
                <w:p>
                  <w:pPr>
                    <w:widowControl/>
                    <w:jc w:val="left"/>
                    <w:rPr>
                      <w:color w:val="auto"/>
                    </w:rPr>
                  </w:pPr>
                  <w:r>
                    <w:rPr>
                      <w:color w:val="auto"/>
                      <w:kern w:val="0"/>
                      <w:sz w:val="20"/>
                      <w:szCs w:val="20"/>
                      <w:lang w:bidi="ar"/>
                    </w:rPr>
                    <w:t>《恶臭污染物排放标准》（GB14554-1993）、《工作场所有害因素职业接触限值化学有</w:t>
                  </w:r>
                </w:p>
                <w:p>
                  <w:pPr>
                    <w:jc w:val="center"/>
                    <w:rPr>
                      <w:color w:val="auto"/>
                      <w:sz w:val="21"/>
                      <w:szCs w:val="21"/>
                      <w:lang w:bidi="ar"/>
                    </w:rPr>
                  </w:pPr>
                  <w:r>
                    <w:rPr>
                      <w:color w:val="auto"/>
                      <w:kern w:val="0"/>
                      <w:sz w:val="20"/>
                      <w:szCs w:val="20"/>
                      <w:lang w:bidi="ar"/>
                    </w:rPr>
                    <w:t>害因素》（GBZ2.1-2007）</w:t>
                  </w:r>
                </w:p>
              </w:tc>
            </w:tr>
          </w:tbl>
          <w:p>
            <w:pPr>
              <w:spacing w:before="120" w:beforeLines="50" w:line="360" w:lineRule="auto"/>
              <w:rPr>
                <w:b/>
                <w:bCs/>
                <w:color w:val="auto"/>
              </w:rPr>
            </w:pPr>
            <w:r>
              <w:rPr>
                <w:b/>
                <w:bCs/>
                <w:color w:val="auto"/>
              </w:rPr>
              <w:t xml:space="preserve">2.2水环境影响分析 </w:t>
            </w:r>
          </w:p>
          <w:p>
            <w:pPr>
              <w:spacing w:line="360" w:lineRule="auto"/>
              <w:rPr>
                <w:b/>
                <w:bCs/>
                <w:color w:val="auto"/>
              </w:rPr>
            </w:pPr>
            <w:r>
              <w:rPr>
                <w:b/>
                <w:bCs/>
                <w:color w:val="auto"/>
              </w:rPr>
              <w:t>2.2.1废水污染物排放情况</w:t>
            </w:r>
          </w:p>
          <w:p>
            <w:pPr>
              <w:widowControl/>
              <w:spacing w:line="360" w:lineRule="auto"/>
              <w:ind w:firstLine="480" w:firstLineChars="200"/>
              <w:jc w:val="left"/>
              <w:rPr>
                <w:color w:val="auto"/>
              </w:rPr>
            </w:pPr>
            <w:r>
              <w:rPr>
                <w:color w:val="auto"/>
                <w:kern w:val="0"/>
                <w:lang w:bidi="ar"/>
              </w:rPr>
              <w:t>本项目运营期的废水集中排放至喀什市第一污水处理厂，水生动物存放池和水生动物扣检池废水产生量按用水量的85%计，则本项</w:t>
            </w:r>
            <w:r>
              <w:rPr>
                <w:rFonts w:hint="eastAsia"/>
                <w:color w:val="auto"/>
                <w:kern w:val="0"/>
                <w:lang w:eastAsia="zh-CN" w:bidi="ar"/>
              </w:rPr>
              <w:t>目水</w:t>
            </w:r>
            <w:r>
              <w:rPr>
                <w:color w:val="auto"/>
                <w:kern w:val="0"/>
                <w:lang w:bidi="ar"/>
              </w:rPr>
              <w:t>生动物存放池和水生动物扣检池废水量为108.8m</w:t>
            </w:r>
            <w:r>
              <w:rPr>
                <w:color w:val="auto"/>
                <w:kern w:val="0"/>
                <w:vertAlign w:val="superscript"/>
                <w:lang w:bidi="ar"/>
              </w:rPr>
              <w:t>3</w:t>
            </w:r>
            <w:r>
              <w:rPr>
                <w:color w:val="auto"/>
                <w:kern w:val="0"/>
                <w:lang w:bidi="ar"/>
              </w:rPr>
              <w:t>/d（39712m</w:t>
            </w:r>
            <w:r>
              <w:rPr>
                <w:color w:val="auto"/>
                <w:kern w:val="0"/>
                <w:vertAlign w:val="superscript"/>
                <w:lang w:bidi="ar"/>
              </w:rPr>
              <w:t>3</w:t>
            </w:r>
            <w:r>
              <w:rPr>
                <w:color w:val="auto"/>
                <w:kern w:val="0"/>
                <w:lang w:bidi="ar"/>
              </w:rPr>
              <w:t>/a）；生活废水产生量按用水量的80%计，则本项目生活污水量为0.8m</w:t>
            </w:r>
            <w:r>
              <w:rPr>
                <w:color w:val="auto"/>
                <w:kern w:val="0"/>
                <w:vertAlign w:val="superscript"/>
                <w:lang w:bidi="ar"/>
              </w:rPr>
              <w:t>3</w:t>
            </w:r>
            <w:r>
              <w:rPr>
                <w:color w:val="auto"/>
                <w:kern w:val="0"/>
                <w:lang w:bidi="ar"/>
              </w:rPr>
              <w:t>/d（292m</w:t>
            </w:r>
            <w:r>
              <w:rPr>
                <w:color w:val="auto"/>
                <w:kern w:val="0"/>
                <w:vertAlign w:val="superscript"/>
                <w:lang w:bidi="ar"/>
              </w:rPr>
              <w:t>3</w:t>
            </w:r>
            <w:r>
              <w:rPr>
                <w:color w:val="auto"/>
                <w:kern w:val="0"/>
                <w:lang w:bidi="ar"/>
              </w:rPr>
              <w:t>/a）；清洗消毒室废水按照用水量的90%计算，则本项目地面清洗废水量为0.054m</w:t>
            </w:r>
            <w:r>
              <w:rPr>
                <w:color w:val="auto"/>
                <w:kern w:val="0"/>
                <w:vertAlign w:val="superscript"/>
                <w:lang w:bidi="ar"/>
              </w:rPr>
              <w:t>3</w:t>
            </w:r>
            <w:r>
              <w:rPr>
                <w:color w:val="auto"/>
                <w:kern w:val="0"/>
                <w:lang w:bidi="ar"/>
              </w:rPr>
              <w:t>/d（19.71m</w:t>
            </w:r>
            <w:r>
              <w:rPr>
                <w:color w:val="auto"/>
                <w:kern w:val="0"/>
                <w:vertAlign w:val="superscript"/>
                <w:lang w:bidi="ar"/>
              </w:rPr>
              <w:t>3</w:t>
            </w:r>
            <w:r>
              <w:rPr>
                <w:color w:val="auto"/>
                <w:kern w:val="0"/>
                <w:lang w:bidi="ar"/>
              </w:rPr>
              <w:t>/a）。项目区总废水排放量为47659.88m</w:t>
            </w:r>
            <w:r>
              <w:rPr>
                <w:color w:val="auto"/>
                <w:kern w:val="0"/>
                <w:vertAlign w:val="superscript"/>
                <w:lang w:bidi="ar"/>
              </w:rPr>
              <w:t>3</w:t>
            </w:r>
            <w:r>
              <w:rPr>
                <w:color w:val="auto"/>
                <w:kern w:val="0"/>
                <w:lang w:bidi="ar"/>
              </w:rPr>
              <w:t>/a，主要污染因子CODcr、BOD</w:t>
            </w:r>
            <w:r>
              <w:rPr>
                <w:color w:val="auto"/>
                <w:kern w:val="0"/>
                <w:vertAlign w:val="subscript"/>
                <w:lang w:bidi="ar"/>
              </w:rPr>
              <w:t>5</w:t>
            </w:r>
            <w:r>
              <w:rPr>
                <w:color w:val="auto"/>
                <w:kern w:val="0"/>
                <w:lang w:bidi="ar"/>
              </w:rPr>
              <w:t>、SS、NH</w:t>
            </w:r>
            <w:r>
              <w:rPr>
                <w:color w:val="auto"/>
                <w:kern w:val="0"/>
                <w:vertAlign w:val="subscript"/>
                <w:lang w:bidi="ar"/>
              </w:rPr>
              <w:t>3</w:t>
            </w:r>
            <w:r>
              <w:rPr>
                <w:color w:val="auto"/>
                <w:kern w:val="0"/>
                <w:lang w:bidi="ar"/>
              </w:rPr>
              <w:t>-N、总余氯等，水质较为简单，污染物易于降解，根据污水类型，项目废水排放浓度及排放量具体见表</w:t>
            </w:r>
            <w:r>
              <w:rPr>
                <w:rFonts w:hint="eastAsia"/>
                <w:color w:val="auto"/>
                <w:kern w:val="0"/>
                <w:lang w:bidi="ar"/>
              </w:rPr>
              <w:t>4-</w:t>
            </w:r>
            <w:r>
              <w:rPr>
                <w:color w:val="auto"/>
                <w:kern w:val="0"/>
                <w:lang w:bidi="ar"/>
              </w:rPr>
              <w:t>8。</w:t>
            </w:r>
          </w:p>
          <w:p>
            <w:pPr>
              <w:topLinePunct/>
              <w:jc w:val="center"/>
              <w:rPr>
                <w:color w:val="auto"/>
                <w:sz w:val="21"/>
                <w:szCs w:val="21"/>
              </w:rPr>
            </w:pPr>
            <w:r>
              <w:rPr>
                <w:b/>
                <w:bCs/>
                <w:color w:val="auto"/>
                <w:sz w:val="21"/>
                <w:szCs w:val="21"/>
                <w:lang w:bidi="ar"/>
              </w:rPr>
              <w:t>表</w:t>
            </w:r>
            <w:r>
              <w:rPr>
                <w:rFonts w:hint="eastAsia"/>
                <w:b/>
                <w:bCs/>
                <w:color w:val="auto"/>
                <w:sz w:val="21"/>
                <w:szCs w:val="21"/>
                <w:lang w:bidi="ar"/>
              </w:rPr>
              <w:t>4-8</w:t>
            </w:r>
            <w:r>
              <w:rPr>
                <w:b/>
                <w:bCs/>
                <w:color w:val="auto"/>
                <w:sz w:val="21"/>
                <w:szCs w:val="21"/>
                <w:lang w:bidi="ar"/>
              </w:rPr>
              <w:t xml:space="preserve">     生活污水污染因子排放浓度及排放量</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3599"/>
              <w:gridCol w:w="1548"/>
              <w:gridCol w:w="826"/>
              <w:gridCol w:w="857"/>
              <w:gridCol w:w="91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322"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b/>
                      <w:bCs/>
                      <w:color w:val="auto"/>
                      <w:kern w:val="0"/>
                      <w:lang w:eastAsia="zh-CN" w:bidi="ar"/>
                    </w:rPr>
                    <w:t>项目</w:t>
                  </w:r>
                </w:p>
              </w:tc>
              <w:tc>
                <w:tcPr>
                  <w:tcW w:w="998" w:type="pct"/>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b/>
                      <w:bCs/>
                      <w:color w:val="auto"/>
                      <w:kern w:val="0"/>
                      <w:lang w:eastAsia="zh-CN" w:bidi="ar"/>
                    </w:rPr>
                    <w:t>COD</w:t>
                  </w:r>
                  <w:r>
                    <w:rPr>
                      <w:rFonts w:ascii="Times New Roman" w:hAnsi="Times New Roman" w:eastAsia="宋体" w:cs="Times New Roman"/>
                      <w:b/>
                      <w:bCs/>
                      <w:color w:val="auto"/>
                      <w:kern w:val="0"/>
                      <w:vertAlign w:val="subscript"/>
                      <w:lang w:eastAsia="zh-CN" w:bidi="ar"/>
                    </w:rPr>
                    <w:t>Cr</w:t>
                  </w:r>
                </w:p>
              </w:tc>
              <w:tc>
                <w:tcPr>
                  <w:tcW w:w="827" w:type="dxa"/>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b/>
                      <w:bCs/>
                      <w:color w:val="auto"/>
                      <w:kern w:val="0"/>
                      <w:lang w:eastAsia="zh-CN" w:bidi="ar"/>
                    </w:rPr>
                    <w:t>BOD</w:t>
                  </w:r>
                  <w:r>
                    <w:rPr>
                      <w:rFonts w:ascii="Times New Roman" w:hAnsi="Times New Roman" w:eastAsia="宋体" w:cs="Times New Roman"/>
                      <w:b/>
                      <w:bCs/>
                      <w:color w:val="auto"/>
                      <w:kern w:val="0"/>
                      <w:vertAlign w:val="subscript"/>
                      <w:lang w:eastAsia="zh-CN" w:bidi="ar"/>
                    </w:rPr>
                    <w:t>5</w:t>
                  </w:r>
                </w:p>
              </w:tc>
              <w:tc>
                <w:tcPr>
                  <w:tcW w:w="857" w:type="dxa"/>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b/>
                      <w:bCs/>
                      <w:color w:val="auto"/>
                      <w:kern w:val="0"/>
                      <w:lang w:eastAsia="zh-CN" w:bidi="ar"/>
                    </w:rPr>
                    <w:t>SS</w:t>
                  </w:r>
                </w:p>
              </w:tc>
              <w:tc>
                <w:tcPr>
                  <w:tcW w:w="917" w:type="dxa"/>
                  <w:tcBorders>
                    <w:tl2br w:val="nil"/>
                    <w:tr2bl w:val="nil"/>
                  </w:tcBorders>
                  <w:shd w:val="clear" w:color="auto" w:fill="auto"/>
                  <w:vAlign w:val="center"/>
                </w:tcPr>
                <w:p>
                  <w:pPr>
                    <w:pStyle w:val="46"/>
                    <w:jc w:val="center"/>
                    <w:rPr>
                      <w:rFonts w:ascii="Times New Roman" w:hAnsi="Times New Roman" w:eastAsia="宋体" w:cs="Times New Roman"/>
                      <w:b/>
                      <w:bCs/>
                      <w:color w:val="auto"/>
                    </w:rPr>
                  </w:pPr>
                  <w:r>
                    <w:rPr>
                      <w:rFonts w:ascii="Times New Roman" w:hAnsi="Times New Roman" w:eastAsia="宋体" w:cs="Times New Roman"/>
                      <w:b/>
                      <w:bCs/>
                      <w:color w:val="auto"/>
                      <w:kern w:val="0"/>
                      <w:lang w:eastAsia="zh-CN" w:bidi="ar"/>
                    </w:rPr>
                    <w:t>NH</w:t>
                  </w:r>
                  <w:r>
                    <w:rPr>
                      <w:rFonts w:ascii="Times New Roman" w:hAnsi="Times New Roman" w:eastAsia="宋体" w:cs="Times New Roman"/>
                      <w:b/>
                      <w:bCs/>
                      <w:color w:val="auto"/>
                      <w:kern w:val="0"/>
                      <w:vertAlign w:val="subscript"/>
                      <w:lang w:eastAsia="zh-CN" w:bidi="ar"/>
                    </w:rPr>
                    <w:t>3</w:t>
                  </w:r>
                  <w:r>
                    <w:rPr>
                      <w:rFonts w:ascii="Times New Roman" w:hAnsi="Times New Roman" w:eastAsia="宋体" w:cs="Times New Roman"/>
                      <w:b/>
                      <w:bCs/>
                      <w:color w:val="auto"/>
                      <w:kern w:val="0"/>
                      <w:lang w:eastAsia="zh-CN" w:bidi="ar"/>
                    </w:rPr>
                    <w:t>-N</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322" w:type="pct"/>
                  <w:tcBorders>
                    <w:tl2br w:val="nil"/>
                    <w:tr2bl w:val="nil"/>
                  </w:tcBorders>
                  <w:shd w:val="clear" w:color="auto" w:fill="auto"/>
                  <w:vAlign w:val="center"/>
                </w:tcPr>
                <w:p>
                  <w:pPr>
                    <w:jc w:val="center"/>
                    <w:rPr>
                      <w:color w:val="auto"/>
                      <w:sz w:val="21"/>
                      <w:szCs w:val="21"/>
                    </w:rPr>
                  </w:pPr>
                  <w:r>
                    <w:rPr>
                      <w:color w:val="auto"/>
                      <w:kern w:val="0"/>
                      <w:sz w:val="21"/>
                      <w:szCs w:val="21"/>
                      <w:lang w:bidi="ar"/>
                    </w:rPr>
                    <w:t>废水量(m</w:t>
                  </w:r>
                  <w:r>
                    <w:rPr>
                      <w:color w:val="auto"/>
                      <w:kern w:val="0"/>
                      <w:sz w:val="21"/>
                      <w:szCs w:val="21"/>
                      <w:vertAlign w:val="superscript"/>
                      <w:lang w:bidi="ar"/>
                    </w:rPr>
                    <w:t>3</w:t>
                  </w:r>
                  <w:r>
                    <w:rPr>
                      <w:color w:val="auto"/>
                      <w:kern w:val="0"/>
                      <w:sz w:val="21"/>
                      <w:szCs w:val="21"/>
                      <w:lang w:bidi="ar"/>
                    </w:rPr>
                    <w:t>/a)</w:t>
                  </w:r>
                </w:p>
              </w:tc>
              <w:tc>
                <w:tcPr>
                  <w:tcW w:w="2677" w:type="pct"/>
                  <w:gridSpan w:val="4"/>
                  <w:tcBorders>
                    <w:tl2br w:val="nil"/>
                    <w:tr2bl w:val="nil"/>
                  </w:tcBorders>
                  <w:shd w:val="clear" w:color="auto" w:fill="auto"/>
                  <w:vAlign w:val="center"/>
                </w:tcPr>
                <w:p>
                  <w:pPr>
                    <w:widowControl/>
                    <w:jc w:val="center"/>
                    <w:rPr>
                      <w:color w:val="auto"/>
                      <w:sz w:val="21"/>
                      <w:szCs w:val="21"/>
                    </w:rPr>
                  </w:pPr>
                  <w:r>
                    <w:rPr>
                      <w:color w:val="auto"/>
                      <w:kern w:val="0"/>
                      <w:sz w:val="21"/>
                      <w:szCs w:val="21"/>
                      <w:lang w:bidi="ar"/>
                    </w:rPr>
                    <w:t>47659.88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322" w:type="pct"/>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排放浓度（mg/L）</w:t>
                  </w:r>
                </w:p>
              </w:tc>
              <w:tc>
                <w:tcPr>
                  <w:tcW w:w="998" w:type="pct"/>
                  <w:tcBorders>
                    <w:tl2br w:val="nil"/>
                    <w:tr2bl w:val="nil"/>
                  </w:tcBorders>
                  <w:shd w:val="clear" w:color="auto" w:fill="auto"/>
                  <w:vAlign w:val="center"/>
                </w:tcPr>
                <w:p>
                  <w:pPr>
                    <w:pStyle w:val="46"/>
                    <w:jc w:val="center"/>
                    <w:rPr>
                      <w:rFonts w:ascii="Times New Roman" w:hAnsi="Times New Roman" w:eastAsia="宋体" w:cs="Times New Roman"/>
                      <w:color w:val="auto"/>
                      <w:lang w:eastAsia="zh-CN" w:bidi="ar"/>
                    </w:rPr>
                  </w:pPr>
                  <w:r>
                    <w:rPr>
                      <w:rFonts w:ascii="Times New Roman" w:hAnsi="Times New Roman" w:eastAsia="宋体" w:cs="Times New Roman"/>
                      <w:color w:val="auto"/>
                      <w:kern w:val="0"/>
                      <w:sz w:val="20"/>
                      <w:szCs w:val="20"/>
                      <w:lang w:eastAsia="zh-CN" w:bidi="ar"/>
                    </w:rPr>
                    <w:t>400</w:t>
                  </w:r>
                </w:p>
              </w:tc>
              <w:tc>
                <w:tcPr>
                  <w:tcW w:w="82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200</w:t>
                  </w:r>
                </w:p>
              </w:tc>
              <w:tc>
                <w:tcPr>
                  <w:tcW w:w="85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220</w:t>
                  </w:r>
                </w:p>
              </w:tc>
              <w:tc>
                <w:tcPr>
                  <w:tcW w:w="917" w:type="dxa"/>
                  <w:tcBorders>
                    <w:tl2br w:val="nil"/>
                    <w:tr2bl w:val="nil"/>
                  </w:tcBorders>
                  <w:shd w:val="clear" w:color="auto" w:fill="auto"/>
                  <w:vAlign w:val="center"/>
                </w:tcPr>
                <w:p>
                  <w:pPr>
                    <w:pStyle w:val="46"/>
                    <w:jc w:val="center"/>
                    <w:rPr>
                      <w:rFonts w:ascii="Times New Roman" w:hAnsi="Times New Roman" w:eastAsia="宋体" w:cs="Times New Roman"/>
                      <w:color w:val="auto"/>
                      <w:lang w:eastAsia="zh-CN" w:bidi="ar"/>
                    </w:rPr>
                  </w:pPr>
                  <w:r>
                    <w:rPr>
                      <w:rFonts w:ascii="Times New Roman" w:hAnsi="Times New Roman" w:eastAsia="宋体" w:cs="Times New Roman"/>
                      <w:color w:val="auto"/>
                      <w:kern w:val="0"/>
                      <w:sz w:val="20"/>
                      <w:szCs w:val="20"/>
                      <w:lang w:eastAsia="zh-CN" w:bidi="ar"/>
                    </w:rPr>
                    <w:t>35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322" w:type="pct"/>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排放量（t/a）</w:t>
                  </w:r>
                </w:p>
              </w:tc>
              <w:tc>
                <w:tcPr>
                  <w:tcW w:w="998" w:type="pct"/>
                  <w:tcBorders>
                    <w:tl2br w:val="nil"/>
                    <w:tr2bl w:val="nil"/>
                  </w:tcBorders>
                  <w:shd w:val="clear" w:color="auto" w:fill="auto"/>
                  <w:vAlign w:val="center"/>
                </w:tcPr>
                <w:p>
                  <w:pPr>
                    <w:pStyle w:val="46"/>
                    <w:jc w:val="center"/>
                    <w:rPr>
                      <w:rFonts w:ascii="Times New Roman" w:hAnsi="Times New Roman" w:eastAsia="宋体" w:cs="Times New Roman"/>
                      <w:color w:val="auto"/>
                      <w:lang w:eastAsia="zh-CN" w:bidi="ar"/>
                    </w:rPr>
                  </w:pPr>
                  <w:r>
                    <w:rPr>
                      <w:rFonts w:ascii="Times New Roman" w:hAnsi="Times New Roman" w:eastAsia="宋体" w:cs="Times New Roman"/>
                      <w:color w:val="auto"/>
                      <w:kern w:val="0"/>
                      <w:sz w:val="20"/>
                      <w:szCs w:val="20"/>
                      <w:lang w:eastAsia="zh-CN" w:bidi="ar"/>
                    </w:rPr>
                    <w:t>19.06</w:t>
                  </w:r>
                </w:p>
              </w:tc>
              <w:tc>
                <w:tcPr>
                  <w:tcW w:w="82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9.53</w:t>
                  </w:r>
                </w:p>
              </w:tc>
              <w:tc>
                <w:tcPr>
                  <w:tcW w:w="85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10.485</w:t>
                  </w:r>
                </w:p>
              </w:tc>
              <w:tc>
                <w:tcPr>
                  <w:tcW w:w="917" w:type="dxa"/>
                  <w:tcBorders>
                    <w:tl2br w:val="nil"/>
                    <w:tr2bl w:val="nil"/>
                  </w:tcBorders>
                  <w:shd w:val="clear" w:color="auto" w:fill="auto"/>
                  <w:vAlign w:val="center"/>
                </w:tcPr>
                <w:p>
                  <w:pPr>
                    <w:pStyle w:val="46"/>
                    <w:jc w:val="center"/>
                    <w:rPr>
                      <w:rFonts w:ascii="Times New Roman" w:hAnsi="Times New Roman" w:eastAsia="宋体" w:cs="Times New Roman"/>
                      <w:color w:val="auto"/>
                      <w:lang w:eastAsia="zh-CN" w:bidi="ar"/>
                    </w:rPr>
                  </w:pPr>
                  <w:r>
                    <w:rPr>
                      <w:rFonts w:ascii="Times New Roman" w:hAnsi="Times New Roman" w:eastAsia="宋体" w:cs="Times New Roman"/>
                      <w:color w:val="auto"/>
                      <w:kern w:val="0"/>
                      <w:sz w:val="20"/>
                      <w:szCs w:val="20"/>
                      <w:lang w:eastAsia="zh-CN" w:bidi="ar"/>
                    </w:rPr>
                    <w:t>1.668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2322" w:type="pct"/>
                  <w:tcBorders>
                    <w:tl2br w:val="nil"/>
                    <w:tr2bl w:val="nil"/>
                  </w:tcBorders>
                  <w:shd w:val="clear" w:color="auto" w:fill="auto"/>
                  <w:vAlign w:val="center"/>
                </w:tcPr>
                <w:p>
                  <w:pPr>
                    <w:widowControl/>
                    <w:jc w:val="left"/>
                    <w:rPr>
                      <w:color w:val="auto"/>
                    </w:rPr>
                  </w:pPr>
                  <w:r>
                    <w:rPr>
                      <w:color w:val="auto"/>
                      <w:kern w:val="0"/>
                      <w:sz w:val="20"/>
                      <w:szCs w:val="20"/>
                      <w:lang w:bidi="ar"/>
                    </w:rPr>
                    <w:t>《污水综合排放标准》（GB8978-1996）</w:t>
                  </w:r>
                </w:p>
                <w:p>
                  <w:pPr>
                    <w:jc w:val="center"/>
                    <w:rPr>
                      <w:color w:val="auto"/>
                      <w:sz w:val="21"/>
                      <w:szCs w:val="21"/>
                      <w:lang w:bidi="ar"/>
                    </w:rPr>
                  </w:pPr>
                  <w:r>
                    <w:rPr>
                      <w:color w:val="auto"/>
                      <w:kern w:val="0"/>
                      <w:sz w:val="20"/>
                      <w:szCs w:val="20"/>
                      <w:lang w:bidi="ar"/>
                    </w:rPr>
                    <w:t>中三级标(mg/L)</w:t>
                  </w:r>
                </w:p>
              </w:tc>
              <w:tc>
                <w:tcPr>
                  <w:tcW w:w="998" w:type="pct"/>
                  <w:tcBorders>
                    <w:tl2br w:val="nil"/>
                    <w:tr2bl w:val="nil"/>
                  </w:tcBorders>
                  <w:shd w:val="clear" w:color="auto" w:fill="auto"/>
                  <w:vAlign w:val="center"/>
                </w:tcPr>
                <w:p>
                  <w:pPr>
                    <w:pStyle w:val="46"/>
                    <w:jc w:val="center"/>
                    <w:rPr>
                      <w:rFonts w:ascii="Times New Roman" w:hAnsi="Times New Roman" w:eastAsia="宋体" w:cs="Times New Roman"/>
                      <w:color w:val="auto"/>
                      <w:lang w:eastAsia="zh-CN" w:bidi="ar"/>
                    </w:rPr>
                  </w:pPr>
                  <w:r>
                    <w:rPr>
                      <w:rFonts w:ascii="Times New Roman" w:hAnsi="Times New Roman" w:eastAsia="宋体" w:cs="Times New Roman"/>
                      <w:color w:val="auto"/>
                      <w:kern w:val="0"/>
                      <w:sz w:val="20"/>
                      <w:szCs w:val="20"/>
                      <w:lang w:eastAsia="zh-CN" w:bidi="ar"/>
                    </w:rPr>
                    <w:t>500</w:t>
                  </w:r>
                </w:p>
              </w:tc>
              <w:tc>
                <w:tcPr>
                  <w:tcW w:w="82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300</w:t>
                  </w:r>
                </w:p>
              </w:tc>
              <w:tc>
                <w:tcPr>
                  <w:tcW w:w="857" w:type="dxa"/>
                  <w:tcBorders>
                    <w:tl2br w:val="nil"/>
                    <w:tr2bl w:val="nil"/>
                  </w:tcBorders>
                  <w:shd w:val="clear" w:color="auto" w:fill="auto"/>
                  <w:vAlign w:val="center"/>
                </w:tcPr>
                <w:p>
                  <w:pPr>
                    <w:jc w:val="center"/>
                    <w:rPr>
                      <w:color w:val="auto"/>
                      <w:sz w:val="21"/>
                      <w:szCs w:val="21"/>
                      <w:lang w:bidi="ar"/>
                    </w:rPr>
                  </w:pPr>
                  <w:r>
                    <w:rPr>
                      <w:color w:val="auto"/>
                      <w:kern w:val="0"/>
                      <w:sz w:val="20"/>
                      <w:szCs w:val="20"/>
                      <w:lang w:bidi="ar"/>
                    </w:rPr>
                    <w:t>400</w:t>
                  </w:r>
                </w:p>
              </w:tc>
              <w:tc>
                <w:tcPr>
                  <w:tcW w:w="917" w:type="dxa"/>
                  <w:tcBorders>
                    <w:tl2br w:val="nil"/>
                    <w:tr2bl w:val="nil"/>
                  </w:tcBorders>
                  <w:shd w:val="clear" w:color="auto" w:fill="auto"/>
                  <w:vAlign w:val="center"/>
                </w:tcPr>
                <w:p>
                  <w:pPr>
                    <w:widowControl/>
                    <w:jc w:val="center"/>
                    <w:rPr>
                      <w:color w:val="auto"/>
                      <w:sz w:val="21"/>
                      <w:szCs w:val="21"/>
                      <w:lang w:bidi="ar"/>
                    </w:rPr>
                  </w:pPr>
                  <w:r>
                    <w:rPr>
                      <w:color w:val="auto"/>
                      <w:kern w:val="0"/>
                      <w:sz w:val="20"/>
                      <w:szCs w:val="20"/>
                      <w:lang w:bidi="ar"/>
                    </w:rPr>
                    <w:t>--</w:t>
                  </w:r>
                </w:p>
              </w:tc>
            </w:tr>
          </w:tbl>
          <w:p>
            <w:pPr>
              <w:widowControl/>
              <w:spacing w:before="120" w:beforeLines="50" w:line="360" w:lineRule="auto"/>
              <w:ind w:firstLine="480" w:firstLineChars="200"/>
              <w:rPr>
                <w:color w:val="auto"/>
              </w:rPr>
            </w:pPr>
            <w:r>
              <w:rPr>
                <w:color w:val="auto"/>
              </w:rPr>
              <w:t>由上表可知，污水排放浓度较低，可生化性高，污染物成分简单，产生量较少，可达到《污水综合排放标准》（GB8978-1996）中三级排放标准，最终排放至喀什市第一污水处理厂，对区域水环境影响较小。</w:t>
            </w:r>
          </w:p>
          <w:p>
            <w:pPr>
              <w:widowControl/>
              <w:spacing w:line="360" w:lineRule="auto"/>
              <w:ind w:firstLine="480" w:firstLineChars="200"/>
              <w:rPr>
                <w:color w:val="auto"/>
              </w:rPr>
            </w:pPr>
            <w:r>
              <w:rPr>
                <w:color w:val="auto"/>
              </w:rPr>
              <w:t>喀什市第一污水处理厂自2010年6月正式投入运行以来，污水处理设备运转良好，日平均处理污水量为12万立方米。该项目采用先进的污水处理设备，厂区主体工艺采用A/O处理工艺。根据“新疆维吾尔自治区污水集中处理设施清单”，该污水处理厂的排污许可证编号为91653101MA783WJJ7C001V，2019年实际处理水量为2802.00万吨，该污水处理厂远期设计处理水量为4380万吨/a，本项目主要其排放量为47659.88m</w:t>
            </w:r>
            <w:r>
              <w:rPr>
                <w:color w:val="auto"/>
                <w:vertAlign w:val="superscript"/>
              </w:rPr>
              <w:t>3</w:t>
            </w:r>
            <w:r>
              <w:rPr>
                <w:color w:val="auto"/>
              </w:rPr>
              <w:t>/a，可满足本项目污水处理需求，故依托该污水处理厂可行。</w:t>
            </w:r>
          </w:p>
          <w:p>
            <w:pPr>
              <w:spacing w:line="360" w:lineRule="auto"/>
              <w:rPr>
                <w:b/>
                <w:bCs/>
                <w:color w:val="auto"/>
              </w:rPr>
            </w:pPr>
            <w:r>
              <w:rPr>
                <w:b/>
                <w:bCs/>
                <w:color w:val="auto"/>
              </w:rPr>
              <w:t>2.2.2废水监测要求</w:t>
            </w:r>
          </w:p>
          <w:p>
            <w:pPr>
              <w:widowControl/>
              <w:spacing w:line="360" w:lineRule="auto"/>
              <w:ind w:firstLine="480" w:firstLineChars="200"/>
            </w:pPr>
            <w:r>
              <w:rPr>
                <w:color w:val="auto"/>
              </w:rPr>
              <w:t>对项目运营过程中产生的废气进行监测，监测点的选取、监测项目确定均按《排污单位自行监测指南》执行。建设单位</w:t>
            </w:r>
            <w:r>
              <w:t>现不具备单独进行环境监测的能力，委托有资质的环境监测机构进行监测工作。</w:t>
            </w:r>
          </w:p>
          <w:p>
            <w:pPr>
              <w:widowControl/>
              <w:spacing w:line="360" w:lineRule="auto"/>
              <w:ind w:firstLine="480" w:firstLineChars="200"/>
            </w:pPr>
            <w:r>
              <w:t xml:space="preserve">依据《排污许可证申请与核发技术规范 总则》（HJ942-2018）和项目内容、企业实际情况，制定相应的监测方案。废水监测计划具体如表 </w:t>
            </w:r>
            <w:r>
              <w:rPr>
                <w:rFonts w:hint="eastAsia"/>
              </w:rPr>
              <w:t>4-</w:t>
            </w:r>
            <w:r>
              <w:t>9 所示。</w:t>
            </w:r>
          </w:p>
          <w:p>
            <w:pPr>
              <w:topLinePunct/>
              <w:jc w:val="center"/>
              <w:rPr>
                <w:sz w:val="21"/>
                <w:szCs w:val="21"/>
              </w:rPr>
            </w:pPr>
            <w:r>
              <w:rPr>
                <w:b/>
                <w:bCs/>
                <w:sz w:val="21"/>
                <w:szCs w:val="21"/>
                <w:lang w:bidi="ar"/>
              </w:rPr>
              <w:t>表</w:t>
            </w:r>
            <w:r>
              <w:rPr>
                <w:rFonts w:hint="eastAsia"/>
                <w:b/>
                <w:bCs/>
                <w:sz w:val="21"/>
                <w:szCs w:val="21"/>
                <w:lang w:bidi="ar"/>
              </w:rPr>
              <w:t>4-9</w:t>
            </w:r>
            <w:r>
              <w:rPr>
                <w:b/>
                <w:bCs/>
                <w:sz w:val="21"/>
                <w:szCs w:val="21"/>
                <w:lang w:bidi="ar"/>
              </w:rPr>
              <w:t xml:space="preserve">     废水常规监测计划表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30"/>
              <w:gridCol w:w="1177"/>
              <w:gridCol w:w="2353"/>
              <w:gridCol w:w="328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00"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color w:val="000000"/>
                      <w:kern w:val="0"/>
                      <w:lang w:eastAsia="zh-CN" w:bidi="ar"/>
                    </w:rPr>
                    <w:t>监测点</w:t>
                  </w:r>
                </w:p>
              </w:tc>
              <w:tc>
                <w:tcPr>
                  <w:tcW w:w="760"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color w:val="000000"/>
                      <w:kern w:val="0"/>
                      <w:lang w:eastAsia="zh-CN" w:bidi="ar"/>
                    </w:rPr>
                    <w:t>监测频次</w:t>
                  </w:r>
                </w:p>
              </w:tc>
              <w:tc>
                <w:tcPr>
                  <w:tcW w:w="1518" w:type="pct"/>
                  <w:tcBorders>
                    <w:tl2br w:val="nil"/>
                    <w:tr2bl w:val="nil"/>
                  </w:tcBorders>
                  <w:shd w:val="clear" w:color="auto" w:fill="auto"/>
                  <w:vAlign w:val="center"/>
                </w:tcPr>
                <w:p>
                  <w:pPr>
                    <w:widowControl/>
                    <w:jc w:val="center"/>
                    <w:rPr>
                      <w:b/>
                      <w:bCs/>
                      <w:sz w:val="21"/>
                      <w:szCs w:val="21"/>
                    </w:rPr>
                  </w:pPr>
                  <w:r>
                    <w:rPr>
                      <w:b/>
                      <w:bCs/>
                      <w:color w:val="000000"/>
                      <w:kern w:val="0"/>
                      <w:sz w:val="21"/>
                      <w:szCs w:val="21"/>
                      <w:lang w:bidi="ar"/>
                    </w:rPr>
                    <w:t>监测项目</w:t>
                  </w:r>
                </w:p>
              </w:tc>
              <w:tc>
                <w:tcPr>
                  <w:tcW w:w="2120"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color w:val="000000"/>
                      <w:kern w:val="0"/>
                      <w:lang w:eastAsia="zh-CN" w:bidi="ar"/>
                    </w:rPr>
                    <w:t>执行标准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600" w:type="pct"/>
                  <w:tcBorders>
                    <w:tl2br w:val="nil"/>
                    <w:tr2bl w:val="nil"/>
                  </w:tcBorders>
                  <w:shd w:val="clear" w:color="auto" w:fill="auto"/>
                  <w:vAlign w:val="center"/>
                </w:tcPr>
                <w:p>
                  <w:pPr>
                    <w:widowControl/>
                    <w:jc w:val="center"/>
                    <w:rPr>
                      <w:color w:val="000000"/>
                      <w:kern w:val="0"/>
                      <w:sz w:val="21"/>
                      <w:szCs w:val="21"/>
                      <w:lang w:bidi="ar"/>
                    </w:rPr>
                  </w:pPr>
                  <w:r>
                    <w:rPr>
                      <w:color w:val="000000"/>
                      <w:kern w:val="0"/>
                      <w:sz w:val="21"/>
                      <w:szCs w:val="21"/>
                      <w:lang w:bidi="ar"/>
                    </w:rPr>
                    <w:t>下水</w:t>
                  </w:r>
                </w:p>
                <w:p>
                  <w:pPr>
                    <w:widowControl/>
                    <w:jc w:val="center"/>
                    <w:rPr>
                      <w:sz w:val="21"/>
                      <w:szCs w:val="21"/>
                    </w:rPr>
                  </w:pPr>
                  <w:r>
                    <w:rPr>
                      <w:color w:val="000000"/>
                      <w:kern w:val="0"/>
                      <w:sz w:val="21"/>
                      <w:szCs w:val="21"/>
                      <w:lang w:bidi="ar"/>
                    </w:rPr>
                    <w:t>管网</w:t>
                  </w:r>
                </w:p>
              </w:tc>
              <w:tc>
                <w:tcPr>
                  <w:tcW w:w="760" w:type="pct"/>
                  <w:tcBorders>
                    <w:tl2br w:val="nil"/>
                    <w:tr2bl w:val="nil"/>
                  </w:tcBorders>
                  <w:shd w:val="clear" w:color="auto" w:fill="auto"/>
                  <w:vAlign w:val="center"/>
                </w:tcPr>
                <w:p>
                  <w:pPr>
                    <w:widowControl/>
                    <w:jc w:val="center"/>
                    <w:rPr>
                      <w:sz w:val="21"/>
                      <w:szCs w:val="21"/>
                    </w:rPr>
                  </w:pPr>
                  <w:r>
                    <w:rPr>
                      <w:color w:val="000000"/>
                      <w:kern w:val="0"/>
                      <w:sz w:val="21"/>
                      <w:szCs w:val="21"/>
                      <w:lang w:bidi="ar"/>
                    </w:rPr>
                    <w:t>每季度监测1次</w:t>
                  </w:r>
                </w:p>
              </w:tc>
              <w:tc>
                <w:tcPr>
                  <w:tcW w:w="1518" w:type="pct"/>
                  <w:tcBorders>
                    <w:tl2br w:val="nil"/>
                    <w:tr2bl w:val="nil"/>
                  </w:tcBorders>
                  <w:shd w:val="clear" w:color="auto" w:fill="auto"/>
                  <w:vAlign w:val="center"/>
                </w:tcPr>
                <w:p>
                  <w:pPr>
                    <w:widowControl/>
                    <w:jc w:val="center"/>
                    <w:rPr>
                      <w:sz w:val="21"/>
                      <w:szCs w:val="21"/>
                    </w:rPr>
                  </w:pPr>
                  <w:r>
                    <w:rPr>
                      <w:color w:val="000000"/>
                      <w:kern w:val="0"/>
                      <w:sz w:val="21"/>
                      <w:szCs w:val="21"/>
                      <w:lang w:bidi="ar"/>
                    </w:rPr>
                    <w:t>化学需氧量、五日生化需氧量、氨氮、悬浮物</w:t>
                  </w:r>
                </w:p>
              </w:tc>
              <w:tc>
                <w:tcPr>
                  <w:tcW w:w="2120" w:type="pct"/>
                  <w:tcBorders>
                    <w:tl2br w:val="nil"/>
                    <w:tr2bl w:val="nil"/>
                  </w:tcBorders>
                  <w:shd w:val="clear" w:color="auto" w:fill="auto"/>
                  <w:vAlign w:val="center"/>
                </w:tcPr>
                <w:p>
                  <w:pPr>
                    <w:widowControl/>
                    <w:jc w:val="center"/>
                    <w:rPr>
                      <w:sz w:val="21"/>
                      <w:szCs w:val="21"/>
                    </w:rPr>
                  </w:pPr>
                  <w:r>
                    <w:rPr>
                      <w:color w:val="000000"/>
                      <w:kern w:val="0"/>
                      <w:sz w:val="21"/>
                      <w:szCs w:val="21"/>
                      <w:lang w:bidi="ar"/>
                    </w:rPr>
                    <w:t>《污水综合排放标准》（GB8978-1996）中三级排放标准</w:t>
                  </w:r>
                </w:p>
              </w:tc>
            </w:tr>
          </w:tbl>
          <w:p>
            <w:pPr>
              <w:spacing w:line="360" w:lineRule="auto"/>
              <w:rPr>
                <w:b/>
                <w:bCs/>
              </w:rPr>
            </w:pPr>
            <w:r>
              <w:rPr>
                <w:b/>
                <w:bCs/>
              </w:rPr>
              <w:t>2.3声环境影响分析</w:t>
            </w:r>
          </w:p>
          <w:p>
            <w:pPr>
              <w:widowControl/>
              <w:spacing w:before="120" w:beforeLines="50" w:line="360" w:lineRule="auto"/>
              <w:ind w:firstLine="480" w:firstLineChars="200"/>
            </w:pPr>
            <w:r>
              <w:t>（1）噪声源强</w:t>
            </w:r>
          </w:p>
          <w:p>
            <w:pPr>
              <w:widowControl/>
              <w:spacing w:line="360" w:lineRule="auto"/>
              <w:ind w:firstLine="480" w:firstLineChars="200"/>
            </w:pPr>
            <w:r>
              <w:t>本项目主要噪声源为制冷设备、熏蒸设备、无害化处理设备、湿热处理设备、冷处理设备等。主要噪声源强见下表</w:t>
            </w:r>
            <w:r>
              <w:rPr>
                <w:rFonts w:hint="eastAsia"/>
              </w:rPr>
              <w:t>4-10</w:t>
            </w:r>
            <w:r>
              <w:t>。</w:t>
            </w:r>
          </w:p>
          <w:p>
            <w:pPr>
              <w:topLinePunct/>
              <w:jc w:val="center"/>
              <w:rPr>
                <w:sz w:val="21"/>
                <w:szCs w:val="21"/>
              </w:rPr>
            </w:pPr>
            <w:r>
              <w:rPr>
                <w:b/>
                <w:bCs/>
                <w:sz w:val="21"/>
                <w:szCs w:val="21"/>
                <w:lang w:bidi="ar"/>
              </w:rPr>
              <w:t>表</w:t>
            </w:r>
            <w:r>
              <w:rPr>
                <w:rFonts w:hint="eastAsia"/>
                <w:b/>
                <w:bCs/>
                <w:sz w:val="21"/>
                <w:szCs w:val="21"/>
                <w:lang w:bidi="ar"/>
              </w:rPr>
              <w:t>4-10</w:t>
            </w:r>
            <w:r>
              <w:rPr>
                <w:b/>
                <w:bCs/>
                <w:sz w:val="21"/>
                <w:szCs w:val="21"/>
                <w:lang w:bidi="ar"/>
              </w:rPr>
              <w:t xml:space="preserve">     主要原辅材料一览表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3"/>
              <w:gridCol w:w="1749"/>
              <w:gridCol w:w="1591"/>
              <w:gridCol w:w="1949"/>
              <w:gridCol w:w="17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cs="Times New Roman"/>
                      <w:spacing w:val="6"/>
                      <w:lang w:eastAsia="zh-CN"/>
                      <w14:textOutline w14:w="3797" w14:cap="sq" w14:cmpd="sng" w14:algn="ctr">
                        <w14:solidFill>
                          <w14:srgbClr w14:val="000000"/>
                        </w14:solidFill>
                        <w14:prstDash w14:val="solid"/>
                        <w14:bevel/>
                      </w14:textOutline>
                    </w:rPr>
                    <w:t>序号</w:t>
                  </w:r>
                </w:p>
              </w:tc>
              <w:tc>
                <w:tcPr>
                  <w:tcW w:w="1128" w:type="pct"/>
                  <w:tcBorders>
                    <w:tl2br w:val="nil"/>
                    <w:tr2bl w:val="nil"/>
                  </w:tcBorders>
                  <w:shd w:val="clear" w:color="auto" w:fill="auto"/>
                  <w:vAlign w:val="center"/>
                </w:tcPr>
                <w:p>
                  <w:pPr>
                    <w:widowControl/>
                    <w:jc w:val="center"/>
                    <w:rPr>
                      <w:b/>
                      <w:bCs/>
                      <w:sz w:val="21"/>
                      <w:szCs w:val="21"/>
                    </w:rPr>
                  </w:pPr>
                  <w:r>
                    <w:rPr>
                      <w:b/>
                      <w:bCs/>
                      <w:color w:val="000000"/>
                      <w:kern w:val="0"/>
                      <w:sz w:val="20"/>
                      <w:szCs w:val="20"/>
                      <w:lang w:bidi="ar"/>
                    </w:rPr>
                    <w:t>设备名称</w:t>
                  </w:r>
                </w:p>
              </w:tc>
              <w:tc>
                <w:tcPr>
                  <w:tcW w:w="1026" w:type="pct"/>
                  <w:tcBorders>
                    <w:tl2br w:val="nil"/>
                    <w:tr2bl w:val="nil"/>
                  </w:tcBorders>
                  <w:shd w:val="clear" w:color="auto" w:fill="auto"/>
                  <w:vAlign w:val="center"/>
                </w:tcPr>
                <w:p>
                  <w:pPr>
                    <w:widowControl/>
                    <w:jc w:val="center"/>
                    <w:rPr>
                      <w:b/>
                      <w:bCs/>
                      <w:sz w:val="21"/>
                      <w:szCs w:val="21"/>
                    </w:rPr>
                  </w:pPr>
                  <w:r>
                    <w:rPr>
                      <w:b/>
                      <w:bCs/>
                      <w:sz w:val="21"/>
                      <w:szCs w:val="21"/>
                    </w:rPr>
                    <w:t>噪声源强</w:t>
                  </w:r>
                </w:p>
              </w:tc>
              <w:tc>
                <w:tcPr>
                  <w:tcW w:w="1257" w:type="pct"/>
                  <w:tcBorders>
                    <w:tl2br w:val="nil"/>
                    <w:tr2bl w:val="nil"/>
                  </w:tcBorders>
                  <w:shd w:val="clear" w:color="auto" w:fill="auto"/>
                  <w:vAlign w:val="center"/>
                </w:tcPr>
                <w:p>
                  <w:pPr>
                    <w:widowControl/>
                    <w:jc w:val="center"/>
                    <w:rPr>
                      <w:b/>
                      <w:bCs/>
                      <w:sz w:val="21"/>
                      <w:szCs w:val="21"/>
                    </w:rPr>
                  </w:pPr>
                  <w:r>
                    <w:rPr>
                      <w:b/>
                      <w:bCs/>
                      <w:sz w:val="21"/>
                      <w:szCs w:val="21"/>
                    </w:rPr>
                    <w:t>噪声源位置</w:t>
                  </w:r>
                </w:p>
              </w:tc>
              <w:tc>
                <w:tcPr>
                  <w:tcW w:w="1144" w:type="pct"/>
                  <w:tcBorders>
                    <w:tl2br w:val="nil"/>
                    <w:tr2bl w:val="nil"/>
                  </w:tcBorders>
                  <w:shd w:val="clear" w:color="auto" w:fill="auto"/>
                  <w:vAlign w:val="center"/>
                </w:tcPr>
                <w:p>
                  <w:pPr>
                    <w:widowControl/>
                    <w:jc w:val="center"/>
                    <w:rPr>
                      <w:b/>
                      <w:bCs/>
                      <w:sz w:val="21"/>
                      <w:szCs w:val="21"/>
                    </w:rPr>
                  </w:pPr>
                  <w:r>
                    <w:rPr>
                      <w:b/>
                      <w:bCs/>
                      <w:sz w:val="21"/>
                      <w:szCs w:val="21"/>
                    </w:rPr>
                    <w:t>备 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jc w:val="center"/>
                    <w:rPr>
                      <w:sz w:val="21"/>
                      <w:szCs w:val="21"/>
                    </w:rPr>
                  </w:pPr>
                  <w:r>
                    <w:rPr>
                      <w:sz w:val="21"/>
                      <w:szCs w:val="21"/>
                    </w:rPr>
                    <w:t>1</w:t>
                  </w:r>
                </w:p>
              </w:tc>
              <w:tc>
                <w:tcPr>
                  <w:tcW w:w="1128" w:type="pct"/>
                  <w:tcBorders>
                    <w:tl2br w:val="nil"/>
                    <w:tr2bl w:val="nil"/>
                  </w:tcBorders>
                  <w:shd w:val="clear" w:color="auto" w:fill="auto"/>
                  <w:vAlign w:val="center"/>
                </w:tcPr>
                <w:p>
                  <w:pPr>
                    <w:pStyle w:val="46"/>
                    <w:jc w:val="center"/>
                    <w:outlineLvl w:val="1"/>
                    <w:rPr>
                      <w:rFonts w:ascii="Times New Roman" w:hAnsi="Times New Roman" w:eastAsia="宋体" w:cs="Times New Roman"/>
                      <w:lang w:eastAsia="zh-CN"/>
                    </w:rPr>
                  </w:pPr>
                  <w:r>
                    <w:rPr>
                      <w:rFonts w:ascii="Times New Roman" w:hAnsi="Times New Roman" w:eastAsia="宋体" w:cs="Times New Roman"/>
                      <w:color w:val="000000"/>
                      <w:kern w:val="0"/>
                      <w:sz w:val="20"/>
                      <w:szCs w:val="20"/>
                      <w:lang w:eastAsia="zh-CN" w:bidi="ar"/>
                    </w:rPr>
                    <w:t>制冷设备</w:t>
                  </w:r>
                </w:p>
              </w:tc>
              <w:tc>
                <w:tcPr>
                  <w:tcW w:w="1026" w:type="pct"/>
                  <w:tcBorders>
                    <w:tl2br w:val="nil"/>
                    <w:tr2bl w:val="nil"/>
                  </w:tcBorders>
                  <w:shd w:val="clear" w:color="auto" w:fill="auto"/>
                  <w:vAlign w:val="center"/>
                </w:tcPr>
                <w:p>
                  <w:pPr>
                    <w:jc w:val="center"/>
                    <w:rPr>
                      <w:sz w:val="21"/>
                      <w:szCs w:val="21"/>
                    </w:rPr>
                  </w:pPr>
                  <w:r>
                    <w:rPr>
                      <w:color w:val="000000"/>
                      <w:kern w:val="0"/>
                      <w:sz w:val="20"/>
                      <w:szCs w:val="20"/>
                      <w:lang w:bidi="ar"/>
                    </w:rPr>
                    <w:t>80~90</w:t>
                  </w:r>
                </w:p>
              </w:tc>
              <w:tc>
                <w:tcPr>
                  <w:tcW w:w="1257" w:type="pct"/>
                  <w:tcBorders>
                    <w:tl2br w:val="nil"/>
                    <w:tr2bl w:val="nil"/>
                  </w:tcBorders>
                  <w:shd w:val="clear" w:color="auto" w:fill="auto"/>
                  <w:vAlign w:val="center"/>
                </w:tcPr>
                <w:p>
                  <w:pPr>
                    <w:jc w:val="center"/>
                    <w:rPr>
                      <w:sz w:val="21"/>
                      <w:szCs w:val="21"/>
                    </w:rPr>
                  </w:pPr>
                  <w:r>
                    <w:rPr>
                      <w:color w:val="000000"/>
                      <w:kern w:val="0"/>
                      <w:sz w:val="20"/>
                      <w:szCs w:val="20"/>
                      <w:lang w:bidi="ar"/>
                    </w:rPr>
                    <w:t>生产车间</w:t>
                  </w:r>
                </w:p>
              </w:tc>
              <w:tc>
                <w:tcPr>
                  <w:tcW w:w="1144" w:type="pct"/>
                  <w:vMerge w:val="restart"/>
                  <w:tcBorders>
                    <w:tl2br w:val="nil"/>
                    <w:tr2bl w:val="nil"/>
                  </w:tcBorders>
                  <w:shd w:val="clear" w:color="auto" w:fill="auto"/>
                  <w:vAlign w:val="center"/>
                </w:tcPr>
                <w:p>
                  <w:pPr>
                    <w:widowControl/>
                    <w:jc w:val="center"/>
                    <w:rPr>
                      <w:sz w:val="21"/>
                      <w:szCs w:val="21"/>
                    </w:rPr>
                  </w:pPr>
                  <w:r>
                    <w:rPr>
                      <w:color w:val="000000"/>
                      <w:kern w:val="0"/>
                      <w:sz w:val="20"/>
                      <w:szCs w:val="20"/>
                      <w:lang w:bidi="ar"/>
                    </w:rPr>
                    <w:t>非连续性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jc w:val="center"/>
                    <w:rPr>
                      <w:sz w:val="21"/>
                      <w:szCs w:val="21"/>
                      <w:lang w:bidi="ar"/>
                    </w:rPr>
                  </w:pPr>
                  <w:r>
                    <w:rPr>
                      <w:sz w:val="21"/>
                      <w:szCs w:val="21"/>
                      <w:lang w:bidi="ar"/>
                    </w:rPr>
                    <w:t>2</w:t>
                  </w:r>
                </w:p>
              </w:tc>
              <w:tc>
                <w:tcPr>
                  <w:tcW w:w="1128"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熏蒸设备</w:t>
                  </w:r>
                </w:p>
              </w:tc>
              <w:tc>
                <w:tcPr>
                  <w:tcW w:w="1026"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80~90</w:t>
                  </w:r>
                </w:p>
              </w:tc>
              <w:tc>
                <w:tcPr>
                  <w:tcW w:w="1257"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生产车间</w:t>
                  </w:r>
                </w:p>
              </w:tc>
              <w:tc>
                <w:tcPr>
                  <w:tcW w:w="1144"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jc w:val="center"/>
                    <w:rPr>
                      <w:sz w:val="21"/>
                      <w:szCs w:val="21"/>
                      <w:lang w:bidi="ar"/>
                    </w:rPr>
                  </w:pPr>
                  <w:r>
                    <w:rPr>
                      <w:sz w:val="21"/>
                      <w:szCs w:val="21"/>
                      <w:lang w:bidi="ar"/>
                    </w:rPr>
                    <w:t>3</w:t>
                  </w:r>
                </w:p>
              </w:tc>
              <w:tc>
                <w:tcPr>
                  <w:tcW w:w="1128"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无害化处理设备</w:t>
                  </w:r>
                </w:p>
              </w:tc>
              <w:tc>
                <w:tcPr>
                  <w:tcW w:w="1026"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70~85</w:t>
                  </w:r>
                </w:p>
              </w:tc>
              <w:tc>
                <w:tcPr>
                  <w:tcW w:w="1257"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生产车间</w:t>
                  </w:r>
                </w:p>
              </w:tc>
              <w:tc>
                <w:tcPr>
                  <w:tcW w:w="1144"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jc w:val="center"/>
                    <w:rPr>
                      <w:sz w:val="21"/>
                      <w:szCs w:val="21"/>
                      <w:lang w:bidi="ar"/>
                    </w:rPr>
                  </w:pPr>
                  <w:r>
                    <w:rPr>
                      <w:sz w:val="21"/>
                      <w:szCs w:val="21"/>
                      <w:lang w:bidi="ar"/>
                    </w:rPr>
                    <w:t>4</w:t>
                  </w:r>
                </w:p>
              </w:tc>
              <w:tc>
                <w:tcPr>
                  <w:tcW w:w="1128"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湿热处理设备</w:t>
                  </w:r>
                </w:p>
              </w:tc>
              <w:tc>
                <w:tcPr>
                  <w:tcW w:w="1026"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70~80</w:t>
                  </w:r>
                </w:p>
              </w:tc>
              <w:tc>
                <w:tcPr>
                  <w:tcW w:w="1257"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生产车间</w:t>
                  </w:r>
                </w:p>
              </w:tc>
              <w:tc>
                <w:tcPr>
                  <w:tcW w:w="1144"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41" w:type="pct"/>
                  <w:tcBorders>
                    <w:tl2br w:val="nil"/>
                    <w:tr2bl w:val="nil"/>
                  </w:tcBorders>
                  <w:shd w:val="clear" w:color="auto" w:fill="auto"/>
                  <w:vAlign w:val="center"/>
                </w:tcPr>
                <w:p>
                  <w:pPr>
                    <w:jc w:val="center"/>
                    <w:rPr>
                      <w:sz w:val="21"/>
                      <w:szCs w:val="21"/>
                      <w:lang w:bidi="ar"/>
                    </w:rPr>
                  </w:pPr>
                  <w:r>
                    <w:rPr>
                      <w:sz w:val="21"/>
                      <w:szCs w:val="21"/>
                      <w:lang w:bidi="ar"/>
                    </w:rPr>
                    <w:t>5</w:t>
                  </w:r>
                </w:p>
              </w:tc>
              <w:tc>
                <w:tcPr>
                  <w:tcW w:w="1128"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冷处理设备</w:t>
                  </w:r>
                </w:p>
              </w:tc>
              <w:tc>
                <w:tcPr>
                  <w:tcW w:w="1026"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70~85</w:t>
                  </w:r>
                </w:p>
              </w:tc>
              <w:tc>
                <w:tcPr>
                  <w:tcW w:w="1257" w:type="pct"/>
                  <w:tcBorders>
                    <w:tl2br w:val="nil"/>
                    <w:tr2bl w:val="nil"/>
                  </w:tcBorders>
                  <w:shd w:val="clear" w:color="auto" w:fill="auto"/>
                  <w:vAlign w:val="center"/>
                </w:tcPr>
                <w:p>
                  <w:pPr>
                    <w:jc w:val="center"/>
                    <w:rPr>
                      <w:sz w:val="21"/>
                      <w:szCs w:val="21"/>
                      <w:lang w:bidi="ar"/>
                    </w:rPr>
                  </w:pPr>
                  <w:r>
                    <w:rPr>
                      <w:color w:val="000000"/>
                      <w:kern w:val="0"/>
                      <w:sz w:val="20"/>
                      <w:szCs w:val="20"/>
                      <w:lang w:bidi="ar"/>
                    </w:rPr>
                    <w:t>生产车间</w:t>
                  </w:r>
                </w:p>
              </w:tc>
              <w:tc>
                <w:tcPr>
                  <w:tcW w:w="1144"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r>
          </w:tbl>
          <w:p>
            <w:pPr>
              <w:widowControl/>
              <w:spacing w:before="120" w:beforeLines="50" w:line="360" w:lineRule="auto"/>
              <w:ind w:firstLine="480" w:firstLineChars="200"/>
            </w:pPr>
            <w:r>
              <w:t>（2）噪声排放标准</w:t>
            </w:r>
          </w:p>
          <w:p>
            <w:pPr>
              <w:widowControl/>
              <w:spacing w:line="360" w:lineRule="auto"/>
              <w:ind w:firstLine="480" w:firstLineChars="200"/>
            </w:pPr>
            <w:r>
              <w:t>厂界噪声标准采用《工业企业厂界环境噪声排放标准》（GB12348-2008）中的3类标准，</w:t>
            </w:r>
            <w:r>
              <w:rPr>
                <w:szCs w:val="22"/>
              </w:rPr>
              <w:t>即昼间65dB（A），夜间55dB（A）</w:t>
            </w:r>
            <w:r>
              <w:t>。</w:t>
            </w:r>
          </w:p>
          <w:p>
            <w:pPr>
              <w:widowControl/>
              <w:spacing w:line="360" w:lineRule="auto"/>
              <w:ind w:firstLine="480" w:firstLineChars="200"/>
            </w:pPr>
            <w:r>
              <w:t>（3）噪声影响分析</w:t>
            </w:r>
          </w:p>
          <w:p>
            <w:pPr>
              <w:widowControl/>
              <w:spacing w:line="360" w:lineRule="auto"/>
              <w:ind w:firstLine="480" w:firstLineChars="200"/>
            </w:pPr>
            <w:r>
              <w:t>噪声源均布置在室内，其对厂界外的声环境影响采取《环境影响评价技术导则声环境》（HJ2.4-2009）中的噪声预测模式。</w:t>
            </w:r>
          </w:p>
          <w:p>
            <w:pPr>
              <w:widowControl/>
              <w:spacing w:line="360" w:lineRule="auto"/>
              <w:ind w:firstLine="480" w:firstLineChars="200"/>
            </w:pPr>
            <w:r>
              <w:t>由于在声波传播的过程中，通过距离衰减、空气吸收衰减到达厂界外，故实际衰减量要低于其预测衰减量，即实际噪声值将略低于其预测值。</w:t>
            </w:r>
          </w:p>
          <w:p>
            <w:pPr>
              <w:widowControl/>
              <w:spacing w:line="360" w:lineRule="auto"/>
              <w:ind w:firstLine="480" w:firstLineChars="200"/>
            </w:pPr>
            <w:r>
              <w:t>2）噪声影响预测模式</w:t>
            </w:r>
          </w:p>
          <w:p>
            <w:pPr>
              <w:widowControl/>
              <w:spacing w:line="360" w:lineRule="auto"/>
              <w:ind w:firstLine="480" w:firstLineChars="200"/>
            </w:pPr>
            <w:r>
              <w:t>机器设备的噪声经厂房建筑物的屏蔽作用</w:t>
            </w:r>
            <w:r>
              <w:rPr>
                <w:rFonts w:hint="eastAsia"/>
                <w:lang w:eastAsia="zh-CN"/>
              </w:rPr>
              <w:t>传输</w:t>
            </w:r>
            <w:r>
              <w:t>到各受声点，因受传播距离、阻挡物的反射与屏障，空气吸收等因素的影响，会使其衰减。由声源预测模式计算：</w:t>
            </w:r>
          </w:p>
          <w:p>
            <w:pPr>
              <w:widowControl/>
              <w:spacing w:line="360" w:lineRule="auto"/>
              <w:ind w:firstLine="480" w:firstLineChars="200"/>
              <w:jc w:val="center"/>
            </w:pPr>
            <w:r>
              <w:t>L</w:t>
            </w:r>
            <w:r>
              <w:rPr>
                <w:vertAlign w:val="subscript"/>
              </w:rPr>
              <w:t>2</w:t>
            </w:r>
            <w:r>
              <w:t>=L</w:t>
            </w:r>
            <w:r>
              <w:rPr>
                <w:vertAlign w:val="subscript"/>
              </w:rPr>
              <w:t>1</w:t>
            </w:r>
            <w:r>
              <w:t>-20lg(r</w:t>
            </w:r>
            <w:r>
              <w:rPr>
                <w:vertAlign w:val="subscript"/>
              </w:rPr>
              <w:t>2</w:t>
            </w:r>
            <w:r>
              <w:t>/r</w:t>
            </w:r>
            <w:r>
              <w:rPr>
                <w:vertAlign w:val="subscript"/>
              </w:rPr>
              <w:t>1</w:t>
            </w:r>
            <w:r>
              <w:t>)</w:t>
            </w:r>
          </w:p>
          <w:p>
            <w:pPr>
              <w:widowControl/>
              <w:spacing w:line="360" w:lineRule="auto"/>
              <w:ind w:firstLine="480" w:firstLineChars="200"/>
            </w:pPr>
            <w:r>
              <w:t>式中：L</w:t>
            </w:r>
            <w:r>
              <w:rPr>
                <w:vertAlign w:val="subscript"/>
              </w:rPr>
              <w:t>2</w:t>
            </w:r>
            <w:r>
              <w:t>——距源r</w:t>
            </w:r>
            <w:r>
              <w:rPr>
                <w:vertAlign w:val="subscript"/>
              </w:rPr>
              <w:t>2</w:t>
            </w:r>
            <w:r>
              <w:t>m处噪声级，dB(A)；</w:t>
            </w:r>
          </w:p>
          <w:p>
            <w:pPr>
              <w:widowControl/>
              <w:spacing w:line="360" w:lineRule="auto"/>
              <w:ind w:firstLine="1200" w:firstLineChars="500"/>
            </w:pPr>
            <w:r>
              <w:t>L</w:t>
            </w:r>
            <w:r>
              <w:rPr>
                <w:vertAlign w:val="subscript"/>
              </w:rPr>
              <w:t>1</w:t>
            </w:r>
            <w:r>
              <w:t>——距源r</w:t>
            </w:r>
            <w:r>
              <w:rPr>
                <w:vertAlign w:val="subscript"/>
              </w:rPr>
              <w:t>1</w:t>
            </w:r>
            <w:r>
              <w:t>m处噪声级，dB(A)。</w:t>
            </w:r>
          </w:p>
          <w:p>
            <w:pPr>
              <w:widowControl/>
              <w:spacing w:line="360" w:lineRule="auto"/>
              <w:ind w:firstLine="480" w:firstLineChars="200"/>
            </w:pPr>
            <w:r>
              <w:t>根据以上模式对主要声源噪声衰减进行预测，详见噪声衰减预测结果表</w:t>
            </w:r>
            <w:r>
              <w:rPr>
                <w:rFonts w:hint="eastAsia"/>
              </w:rPr>
              <w:t>4-11</w:t>
            </w:r>
            <w:r>
              <w:t>。</w:t>
            </w:r>
          </w:p>
          <w:p>
            <w:pPr>
              <w:topLinePunct/>
              <w:jc w:val="center"/>
              <w:rPr>
                <w:sz w:val="21"/>
                <w:szCs w:val="21"/>
              </w:rPr>
            </w:pPr>
            <w:r>
              <w:rPr>
                <w:b/>
                <w:bCs/>
                <w:sz w:val="21"/>
                <w:szCs w:val="21"/>
                <w:lang w:bidi="ar"/>
              </w:rPr>
              <w:t>表</w:t>
            </w:r>
            <w:r>
              <w:rPr>
                <w:rFonts w:hint="eastAsia"/>
                <w:b/>
                <w:bCs/>
                <w:sz w:val="21"/>
                <w:szCs w:val="21"/>
                <w:lang w:bidi="ar"/>
              </w:rPr>
              <w:t>4-11</w:t>
            </w:r>
            <w:r>
              <w:rPr>
                <w:b/>
                <w:bCs/>
                <w:sz w:val="21"/>
                <w:szCs w:val="21"/>
                <w:lang w:bidi="ar"/>
              </w:rPr>
              <w:t xml:space="preserve">  项目噪声设备及噪声衰减预测结果  单位：dB(A)</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41"/>
              <w:gridCol w:w="816"/>
              <w:gridCol w:w="749"/>
              <w:gridCol w:w="899"/>
              <w:gridCol w:w="591"/>
              <w:gridCol w:w="590"/>
              <w:gridCol w:w="590"/>
              <w:gridCol w:w="590"/>
              <w:gridCol w:w="590"/>
              <w:gridCol w:w="590"/>
              <w:gridCol w:w="59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736" w:type="pct"/>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设备</w:t>
                  </w:r>
                </w:p>
                <w:p>
                  <w:pPr>
                    <w:pStyle w:val="46"/>
                    <w:jc w:val="center"/>
                    <w:rPr>
                      <w:rFonts w:ascii="Times New Roman" w:hAnsi="Times New Roman" w:eastAsia="宋体" w:cs="Times New Roman"/>
                      <w:b/>
                      <w:bCs/>
                    </w:rPr>
                  </w:pPr>
                  <w:r>
                    <w:rPr>
                      <w:rFonts w:ascii="Times New Roman" w:hAnsi="Times New Roman" w:eastAsia="宋体" w:cs="Times New Roman"/>
                      <w:b/>
                      <w:bCs/>
                    </w:rPr>
                    <w:t>名称</w:t>
                  </w:r>
                </w:p>
              </w:tc>
              <w:tc>
                <w:tcPr>
                  <w:tcW w:w="526" w:type="pct"/>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噪声源</w:t>
                  </w:r>
                </w:p>
                <w:p>
                  <w:pPr>
                    <w:pStyle w:val="46"/>
                    <w:jc w:val="center"/>
                    <w:rPr>
                      <w:rFonts w:ascii="Times New Roman" w:hAnsi="Times New Roman" w:eastAsia="宋体" w:cs="Times New Roman"/>
                      <w:b/>
                      <w:bCs/>
                    </w:rPr>
                  </w:pPr>
                  <w:r>
                    <w:rPr>
                      <w:rFonts w:ascii="Times New Roman" w:hAnsi="Times New Roman" w:eastAsia="宋体" w:cs="Times New Roman"/>
                      <w:b/>
                      <w:bCs/>
                    </w:rPr>
                    <w:t>dB(A)</w:t>
                  </w:r>
                </w:p>
              </w:tc>
              <w:tc>
                <w:tcPr>
                  <w:tcW w:w="483" w:type="pct"/>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降噪措施</w:t>
                  </w:r>
                </w:p>
              </w:tc>
              <w:tc>
                <w:tcPr>
                  <w:tcW w:w="580" w:type="pct"/>
                  <w:vMerge w:val="restar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降噪</w:t>
                  </w:r>
                </w:p>
                <w:p>
                  <w:pPr>
                    <w:pStyle w:val="46"/>
                    <w:jc w:val="center"/>
                    <w:rPr>
                      <w:rFonts w:ascii="Times New Roman" w:hAnsi="Times New Roman" w:eastAsia="宋体" w:cs="Times New Roman"/>
                      <w:b/>
                      <w:bCs/>
                    </w:rPr>
                  </w:pPr>
                  <w:r>
                    <w:rPr>
                      <w:rFonts w:ascii="Times New Roman" w:hAnsi="Times New Roman" w:eastAsia="宋体" w:cs="Times New Roman"/>
                      <w:b/>
                      <w:bCs/>
                    </w:rPr>
                    <w:t>效果</w:t>
                  </w:r>
                </w:p>
                <w:p>
                  <w:pPr>
                    <w:pStyle w:val="46"/>
                    <w:jc w:val="center"/>
                    <w:rPr>
                      <w:rFonts w:ascii="Times New Roman" w:hAnsi="Times New Roman" w:eastAsia="宋体" w:cs="Times New Roman"/>
                      <w:b/>
                      <w:bCs/>
                    </w:rPr>
                  </w:pPr>
                  <w:r>
                    <w:rPr>
                      <w:rFonts w:ascii="Times New Roman" w:hAnsi="Times New Roman" w:eastAsia="宋体" w:cs="Times New Roman"/>
                      <w:b/>
                      <w:bCs/>
                    </w:rPr>
                    <w:t>dB(A)</w:t>
                  </w:r>
                </w:p>
              </w:tc>
              <w:tc>
                <w:tcPr>
                  <w:tcW w:w="2672" w:type="pct"/>
                  <w:gridSpan w:val="7"/>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距源不同距离噪声衰减值 dB(A)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75" w:hRule="atLeast"/>
                <w:jc w:val="center"/>
              </w:trPr>
              <w:tc>
                <w:tcPr>
                  <w:tcW w:w="736" w:type="pct"/>
                  <w:vMerge w:val="continue"/>
                  <w:tcBorders>
                    <w:tl2br w:val="nil"/>
                    <w:tr2bl w:val="nil"/>
                  </w:tcBorders>
                  <w:shd w:val="clear" w:color="auto" w:fill="auto"/>
                  <w:vAlign w:val="center"/>
                </w:tcPr>
                <w:p>
                  <w:pPr>
                    <w:pStyle w:val="46"/>
                    <w:jc w:val="center"/>
                    <w:rPr>
                      <w:rFonts w:ascii="Times New Roman" w:hAnsi="Times New Roman" w:cs="Times New Roman"/>
                    </w:rPr>
                  </w:pPr>
                </w:p>
              </w:tc>
              <w:tc>
                <w:tcPr>
                  <w:tcW w:w="526" w:type="pct"/>
                  <w:vMerge w:val="continue"/>
                  <w:tcBorders>
                    <w:tl2br w:val="nil"/>
                    <w:tr2bl w:val="nil"/>
                  </w:tcBorders>
                  <w:shd w:val="clear" w:color="auto" w:fill="auto"/>
                  <w:vAlign w:val="center"/>
                </w:tcPr>
                <w:p>
                  <w:pPr>
                    <w:pStyle w:val="46"/>
                    <w:jc w:val="center"/>
                    <w:rPr>
                      <w:rFonts w:ascii="Times New Roman" w:hAnsi="Times New Roman" w:cs="Times New Roman"/>
                    </w:rPr>
                  </w:pPr>
                </w:p>
              </w:tc>
              <w:tc>
                <w:tcPr>
                  <w:tcW w:w="483" w:type="pct"/>
                  <w:vMerge w:val="continue"/>
                  <w:tcBorders>
                    <w:tl2br w:val="nil"/>
                    <w:tr2bl w:val="nil"/>
                  </w:tcBorders>
                  <w:shd w:val="clear" w:color="auto" w:fill="auto"/>
                  <w:vAlign w:val="center"/>
                </w:tcPr>
                <w:p>
                  <w:pPr>
                    <w:pStyle w:val="46"/>
                    <w:jc w:val="center"/>
                    <w:rPr>
                      <w:rFonts w:ascii="Times New Roman" w:hAnsi="Times New Roman" w:cs="Times New Roman"/>
                    </w:rPr>
                  </w:pPr>
                </w:p>
              </w:tc>
              <w:tc>
                <w:tcPr>
                  <w:tcW w:w="580" w:type="pct"/>
                  <w:vMerge w:val="continue"/>
                  <w:tcBorders>
                    <w:tl2br w:val="nil"/>
                    <w:tr2bl w:val="nil"/>
                  </w:tcBorders>
                  <w:shd w:val="clear" w:color="auto" w:fill="auto"/>
                  <w:vAlign w:val="center"/>
                </w:tcPr>
                <w:p>
                  <w:pPr>
                    <w:pStyle w:val="46"/>
                    <w:jc w:val="center"/>
                    <w:rPr>
                      <w:rFonts w:ascii="Times New Roman" w:hAnsi="Times New Roman" w:cs="Times New Roman"/>
                    </w:rPr>
                  </w:pP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b/>
                      <w:bCs/>
                      <w:lang w:eastAsia="zh-CN"/>
                    </w:rPr>
                  </w:pPr>
                  <w:r>
                    <w:rPr>
                      <w:rFonts w:ascii="Times New Roman" w:hAnsi="Times New Roman" w:eastAsia="宋体" w:cs="Times New Roman"/>
                      <w:b/>
                      <w:bCs/>
                      <w:lang w:eastAsia="zh-CN"/>
                    </w:rPr>
                    <w:t>1</w:t>
                  </w:r>
                </w:p>
                <w:p>
                  <w:pPr>
                    <w:pStyle w:val="46"/>
                    <w:jc w:val="center"/>
                    <w:rPr>
                      <w:rFonts w:ascii="Times New Roman" w:hAnsi="Times New Roman" w:eastAsia="宋体" w:cs="Times New Roman"/>
                      <w:b/>
                      <w:bCs/>
                      <w:lang w:eastAsia="zh-CN"/>
                    </w:rPr>
                  </w:pPr>
                  <w:r>
                    <w:rPr>
                      <w:rFonts w:ascii="Times New Roman" w:hAnsi="Times New Roman" w:eastAsia="宋体" w:cs="Times New Roman"/>
                      <w:b/>
                      <w:bCs/>
                      <w:lang w:eastAsia="zh-CN"/>
                    </w:rPr>
                    <w:t>m</w:t>
                  </w:r>
                </w:p>
              </w:tc>
              <w:tc>
                <w:tcPr>
                  <w:tcW w:w="381" w:type="pct"/>
                  <w:tcBorders>
                    <w:tl2br w:val="nil"/>
                    <w:tr2bl w:val="nil"/>
                  </w:tcBorders>
                  <w:shd w:val="clear" w:color="auto" w:fill="auto"/>
                  <w:vAlign w:val="center"/>
                </w:tcPr>
                <w:p>
                  <w:pPr>
                    <w:jc w:val="center"/>
                    <w:rPr>
                      <w:b/>
                      <w:bCs/>
                      <w:sz w:val="21"/>
                      <w:szCs w:val="21"/>
                    </w:rPr>
                  </w:pPr>
                  <w:r>
                    <w:rPr>
                      <w:b/>
                      <w:bCs/>
                      <w:sz w:val="21"/>
                      <w:szCs w:val="21"/>
                    </w:rPr>
                    <w:t>10m</w:t>
                  </w:r>
                </w:p>
              </w:tc>
              <w:tc>
                <w:tcPr>
                  <w:tcW w:w="381" w:type="pct"/>
                  <w:tcBorders>
                    <w:tl2br w:val="nil"/>
                    <w:tr2bl w:val="nil"/>
                  </w:tcBorders>
                  <w:shd w:val="clear" w:color="auto" w:fill="auto"/>
                  <w:vAlign w:val="center"/>
                </w:tcPr>
                <w:p>
                  <w:pPr>
                    <w:jc w:val="center"/>
                    <w:rPr>
                      <w:b/>
                      <w:bCs/>
                      <w:sz w:val="21"/>
                      <w:szCs w:val="21"/>
                    </w:rPr>
                  </w:pPr>
                  <w:r>
                    <w:rPr>
                      <w:b/>
                      <w:bCs/>
                      <w:sz w:val="21"/>
                      <w:szCs w:val="21"/>
                    </w:rPr>
                    <w:t>20m</w:t>
                  </w:r>
                </w:p>
              </w:tc>
              <w:tc>
                <w:tcPr>
                  <w:tcW w:w="381" w:type="pct"/>
                  <w:tcBorders>
                    <w:tl2br w:val="nil"/>
                    <w:tr2bl w:val="nil"/>
                  </w:tcBorders>
                  <w:shd w:val="clear" w:color="auto" w:fill="auto"/>
                  <w:vAlign w:val="center"/>
                </w:tcPr>
                <w:p>
                  <w:pPr>
                    <w:jc w:val="center"/>
                    <w:rPr>
                      <w:b/>
                      <w:bCs/>
                      <w:sz w:val="21"/>
                      <w:szCs w:val="21"/>
                    </w:rPr>
                  </w:pPr>
                  <w:r>
                    <w:rPr>
                      <w:b/>
                      <w:bCs/>
                      <w:sz w:val="21"/>
                      <w:szCs w:val="21"/>
                    </w:rPr>
                    <w:t>40m</w:t>
                  </w:r>
                </w:p>
              </w:tc>
              <w:tc>
                <w:tcPr>
                  <w:tcW w:w="381" w:type="pct"/>
                  <w:tcBorders>
                    <w:tl2br w:val="nil"/>
                    <w:tr2bl w:val="nil"/>
                  </w:tcBorders>
                  <w:shd w:val="clear" w:color="auto" w:fill="auto"/>
                  <w:vAlign w:val="center"/>
                </w:tcPr>
                <w:p>
                  <w:pPr>
                    <w:jc w:val="center"/>
                    <w:rPr>
                      <w:b/>
                      <w:bCs/>
                      <w:sz w:val="21"/>
                      <w:szCs w:val="21"/>
                    </w:rPr>
                  </w:pPr>
                  <w:r>
                    <w:rPr>
                      <w:b/>
                      <w:bCs/>
                      <w:sz w:val="21"/>
                      <w:szCs w:val="21"/>
                    </w:rPr>
                    <w:t>80m</w:t>
                  </w:r>
                </w:p>
              </w:tc>
              <w:tc>
                <w:tcPr>
                  <w:tcW w:w="381" w:type="pct"/>
                  <w:tcBorders>
                    <w:tl2br w:val="nil"/>
                    <w:tr2bl w:val="nil"/>
                  </w:tcBorders>
                  <w:shd w:val="clear" w:color="auto" w:fill="auto"/>
                  <w:vAlign w:val="center"/>
                </w:tcPr>
                <w:p>
                  <w:pPr>
                    <w:jc w:val="center"/>
                    <w:rPr>
                      <w:b/>
                      <w:bCs/>
                      <w:sz w:val="21"/>
                      <w:szCs w:val="21"/>
                    </w:rPr>
                  </w:pPr>
                  <w:r>
                    <w:rPr>
                      <w:b/>
                      <w:bCs/>
                      <w:sz w:val="21"/>
                      <w:szCs w:val="21"/>
                    </w:rPr>
                    <w:t>160m</w:t>
                  </w:r>
                </w:p>
              </w:tc>
              <w:tc>
                <w:tcPr>
                  <w:tcW w:w="382" w:type="pct"/>
                  <w:tcBorders>
                    <w:tl2br w:val="nil"/>
                    <w:tr2bl w:val="nil"/>
                  </w:tcBorders>
                  <w:shd w:val="clear" w:color="auto" w:fill="auto"/>
                  <w:vAlign w:val="center"/>
                </w:tcPr>
                <w:p>
                  <w:pPr>
                    <w:jc w:val="center"/>
                    <w:rPr>
                      <w:b/>
                      <w:bCs/>
                      <w:sz w:val="21"/>
                      <w:szCs w:val="21"/>
                    </w:rPr>
                  </w:pPr>
                  <w:r>
                    <w:rPr>
                      <w:b/>
                      <w:bCs/>
                      <w:sz w:val="21"/>
                      <w:szCs w:val="21"/>
                    </w:rPr>
                    <w:t>200m</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pct"/>
                  <w:tcBorders>
                    <w:tl2br w:val="nil"/>
                    <w:tr2bl w:val="nil"/>
                  </w:tcBorders>
                  <w:shd w:val="clear" w:color="auto" w:fill="auto"/>
                  <w:vAlign w:val="center"/>
                </w:tcPr>
                <w:p>
                  <w:pPr>
                    <w:pStyle w:val="46"/>
                    <w:jc w:val="center"/>
                    <w:outlineLvl w:val="1"/>
                    <w:rPr>
                      <w:rFonts w:ascii="Times New Roman" w:hAnsi="Times New Roman" w:eastAsia="宋体" w:cs="Times New Roman"/>
                    </w:rPr>
                  </w:pPr>
                  <w:r>
                    <w:rPr>
                      <w:rFonts w:ascii="Times New Roman" w:hAnsi="Times New Roman" w:eastAsia="宋体" w:cs="Times New Roman"/>
                      <w:color w:val="000000"/>
                      <w:kern w:val="0"/>
                      <w:sz w:val="20"/>
                      <w:szCs w:val="20"/>
                      <w:lang w:eastAsia="zh-CN" w:bidi="ar"/>
                    </w:rPr>
                    <w:t>制冷设备</w:t>
                  </w:r>
                </w:p>
              </w:tc>
              <w:tc>
                <w:tcPr>
                  <w:tcW w:w="526" w:type="pct"/>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lang w:eastAsia="zh-CN"/>
                    </w:rPr>
                    <w:t>90</w:t>
                  </w:r>
                </w:p>
              </w:tc>
              <w:tc>
                <w:tcPr>
                  <w:tcW w:w="483" w:type="pct"/>
                  <w:vMerge w:val="restart"/>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lang w:eastAsia="zh-CN"/>
                    </w:rPr>
                    <w:t>减震垫、吸声、厂房隔声</w:t>
                  </w:r>
                </w:p>
              </w:tc>
              <w:tc>
                <w:tcPr>
                  <w:tcW w:w="580" w:type="pct"/>
                  <w:tcBorders>
                    <w:tl2br w:val="nil"/>
                    <w:tr2bl w:val="nil"/>
                  </w:tcBorders>
                  <w:shd w:val="clear" w:color="auto" w:fill="auto"/>
                  <w:vAlign w:val="center"/>
                </w:tcPr>
                <w:p>
                  <w:pPr>
                    <w:pStyle w:val="46"/>
                    <w:jc w:val="center"/>
                    <w:rPr>
                      <w:rFonts w:ascii="Times New Roman" w:hAnsi="Times New Roman" w:eastAsia="宋体" w:cs="Times New Roman"/>
                      <w:lang w:eastAsia="zh-CN"/>
                    </w:rPr>
                  </w:pPr>
                  <w:r>
                    <w:rPr>
                      <w:rFonts w:ascii="Times New Roman" w:hAnsi="Times New Roman" w:eastAsia="宋体" w:cs="Times New Roman"/>
                      <w:lang w:eastAsia="zh-CN"/>
                    </w:rPr>
                    <w:t>20</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70</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50</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43</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38</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32</w:t>
                  </w:r>
                </w:p>
              </w:tc>
              <w:tc>
                <w:tcPr>
                  <w:tcW w:w="381"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26</w:t>
                  </w:r>
                </w:p>
              </w:tc>
              <w:tc>
                <w:tcPr>
                  <w:tcW w:w="382" w:type="pct"/>
                  <w:tcBorders>
                    <w:tl2br w:val="nil"/>
                    <w:tr2bl w:val="nil"/>
                  </w:tcBorders>
                  <w:shd w:val="clear" w:color="auto" w:fill="auto"/>
                  <w:vAlign w:val="center"/>
                </w:tcPr>
                <w:p>
                  <w:pPr>
                    <w:widowControl/>
                    <w:jc w:val="center"/>
                    <w:rPr>
                      <w:sz w:val="21"/>
                      <w:szCs w:val="21"/>
                    </w:rPr>
                  </w:pPr>
                  <w:r>
                    <w:rPr>
                      <w:color w:val="000000"/>
                      <w:kern w:val="0"/>
                      <w:sz w:val="20"/>
                      <w:szCs w:val="20"/>
                      <w:lang w:bidi="ar"/>
                    </w:rPr>
                    <w:t>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熏蒸设备</w:t>
                  </w:r>
                </w:p>
              </w:tc>
              <w:tc>
                <w:tcPr>
                  <w:tcW w:w="526"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90</w:t>
                  </w:r>
                </w:p>
              </w:tc>
              <w:tc>
                <w:tcPr>
                  <w:tcW w:w="483"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c>
                <w:tcPr>
                  <w:tcW w:w="580"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70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50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43</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28</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32</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26</w:t>
                  </w:r>
                </w:p>
              </w:tc>
              <w:tc>
                <w:tcPr>
                  <w:tcW w:w="382"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pct"/>
                  <w:tcBorders>
                    <w:tl2br w:val="nil"/>
                    <w:tr2bl w:val="nil"/>
                  </w:tcBorders>
                  <w:shd w:val="clear" w:color="auto" w:fill="auto"/>
                  <w:vAlign w:val="center"/>
                </w:tcPr>
                <w:p>
                  <w:pPr>
                    <w:pStyle w:val="46"/>
                    <w:jc w:val="center"/>
                    <w:rPr>
                      <w:rFonts w:ascii="Times New Roman" w:hAnsi="Times New Roman" w:eastAsia="宋体" w:cs="Times New Roman"/>
                      <w:color w:val="000000"/>
                      <w:kern w:val="0"/>
                      <w:sz w:val="20"/>
                      <w:szCs w:val="20"/>
                      <w:lang w:eastAsia="zh-CN" w:bidi="ar"/>
                    </w:rPr>
                  </w:pPr>
                  <w:r>
                    <w:rPr>
                      <w:rFonts w:ascii="Times New Roman" w:hAnsi="Times New Roman" w:eastAsia="宋体" w:cs="Times New Roman"/>
                      <w:color w:val="000000"/>
                      <w:kern w:val="0"/>
                      <w:sz w:val="20"/>
                      <w:szCs w:val="20"/>
                      <w:lang w:eastAsia="zh-CN" w:bidi="ar"/>
                    </w:rPr>
                    <w:t>无害化</w:t>
                  </w:r>
                </w:p>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处理设备</w:t>
                  </w:r>
                </w:p>
              </w:tc>
              <w:tc>
                <w:tcPr>
                  <w:tcW w:w="526"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85</w:t>
                  </w:r>
                </w:p>
              </w:tc>
              <w:tc>
                <w:tcPr>
                  <w:tcW w:w="483"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c>
                <w:tcPr>
                  <w:tcW w:w="580"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65</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45</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39</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33</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27</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21</w:t>
                  </w:r>
                </w:p>
              </w:tc>
              <w:tc>
                <w:tcPr>
                  <w:tcW w:w="382"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pct"/>
                  <w:tcBorders>
                    <w:tl2br w:val="nil"/>
                    <w:tr2bl w:val="nil"/>
                  </w:tcBorders>
                  <w:shd w:val="clear" w:color="auto" w:fill="auto"/>
                  <w:vAlign w:val="center"/>
                </w:tcPr>
                <w:p>
                  <w:pPr>
                    <w:pStyle w:val="46"/>
                    <w:jc w:val="center"/>
                    <w:rPr>
                      <w:rFonts w:ascii="Times New Roman" w:hAnsi="Times New Roman" w:eastAsia="宋体" w:cs="Times New Roman"/>
                      <w:color w:val="000000"/>
                      <w:kern w:val="0"/>
                      <w:sz w:val="20"/>
                      <w:szCs w:val="20"/>
                      <w:lang w:eastAsia="zh-CN" w:bidi="ar"/>
                    </w:rPr>
                  </w:pPr>
                  <w:r>
                    <w:rPr>
                      <w:rFonts w:ascii="Times New Roman" w:hAnsi="Times New Roman" w:eastAsia="宋体" w:cs="Times New Roman"/>
                      <w:color w:val="000000"/>
                      <w:kern w:val="0"/>
                      <w:sz w:val="20"/>
                      <w:szCs w:val="20"/>
                      <w:lang w:eastAsia="zh-CN" w:bidi="ar"/>
                    </w:rPr>
                    <w:t>湿热</w:t>
                  </w:r>
                </w:p>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处理设备</w:t>
                  </w:r>
                </w:p>
              </w:tc>
              <w:tc>
                <w:tcPr>
                  <w:tcW w:w="526"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80</w:t>
                  </w:r>
                </w:p>
              </w:tc>
              <w:tc>
                <w:tcPr>
                  <w:tcW w:w="483"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c>
                <w:tcPr>
                  <w:tcW w:w="580"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60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40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34</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28</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22</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16</w:t>
                  </w:r>
                </w:p>
              </w:tc>
              <w:tc>
                <w:tcPr>
                  <w:tcW w:w="382"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14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6" w:type="pct"/>
                  <w:tcBorders>
                    <w:tl2br w:val="nil"/>
                    <w:tr2bl w:val="nil"/>
                  </w:tcBorders>
                  <w:shd w:val="clear" w:color="auto" w:fill="auto"/>
                  <w:vAlign w:val="center"/>
                </w:tcPr>
                <w:p>
                  <w:pPr>
                    <w:pStyle w:val="46"/>
                    <w:jc w:val="center"/>
                    <w:rPr>
                      <w:rFonts w:ascii="Times New Roman" w:hAnsi="Times New Roman" w:eastAsia="宋体" w:cs="Times New Roman"/>
                      <w:color w:val="000000"/>
                      <w:kern w:val="0"/>
                      <w:sz w:val="20"/>
                      <w:szCs w:val="20"/>
                      <w:lang w:eastAsia="zh-CN" w:bidi="ar"/>
                    </w:rPr>
                  </w:pPr>
                  <w:r>
                    <w:rPr>
                      <w:rFonts w:ascii="Times New Roman" w:hAnsi="Times New Roman" w:eastAsia="宋体" w:cs="Times New Roman"/>
                      <w:color w:val="000000"/>
                      <w:kern w:val="0"/>
                      <w:sz w:val="20"/>
                      <w:szCs w:val="20"/>
                      <w:lang w:eastAsia="zh-CN" w:bidi="ar"/>
                    </w:rPr>
                    <w:t>冷处理</w:t>
                  </w:r>
                </w:p>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设备</w:t>
                  </w:r>
                </w:p>
              </w:tc>
              <w:tc>
                <w:tcPr>
                  <w:tcW w:w="526"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color w:val="000000"/>
                      <w:kern w:val="0"/>
                      <w:sz w:val="20"/>
                      <w:szCs w:val="20"/>
                      <w:lang w:eastAsia="zh-CN" w:bidi="ar"/>
                    </w:rPr>
                    <w:t>85</w:t>
                  </w:r>
                </w:p>
              </w:tc>
              <w:tc>
                <w:tcPr>
                  <w:tcW w:w="483" w:type="pct"/>
                  <w:vMerge w:val="continue"/>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p>
              </w:tc>
              <w:tc>
                <w:tcPr>
                  <w:tcW w:w="580"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20</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65</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45</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39</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33</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27</w:t>
                  </w:r>
                </w:p>
              </w:tc>
              <w:tc>
                <w:tcPr>
                  <w:tcW w:w="381"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21</w:t>
                  </w:r>
                </w:p>
              </w:tc>
              <w:tc>
                <w:tcPr>
                  <w:tcW w:w="382" w:type="pct"/>
                  <w:tcBorders>
                    <w:tl2br w:val="nil"/>
                    <w:tr2bl w:val="nil"/>
                  </w:tcBorders>
                  <w:shd w:val="clear" w:color="auto" w:fill="auto"/>
                  <w:vAlign w:val="center"/>
                </w:tcPr>
                <w:p>
                  <w:pPr>
                    <w:pStyle w:val="46"/>
                    <w:jc w:val="center"/>
                    <w:rPr>
                      <w:rFonts w:ascii="Times New Roman" w:hAnsi="Times New Roman" w:eastAsia="宋体" w:cs="Times New Roman"/>
                      <w:lang w:eastAsia="zh-CN" w:bidi="ar"/>
                    </w:rPr>
                  </w:pPr>
                  <w:r>
                    <w:rPr>
                      <w:rFonts w:ascii="Times New Roman" w:hAnsi="Times New Roman" w:eastAsia="宋体" w:cs="Times New Roman"/>
                      <w:lang w:eastAsia="zh-CN" w:bidi="ar"/>
                    </w:rPr>
                    <w:t>19</w:t>
                  </w:r>
                </w:p>
              </w:tc>
            </w:tr>
          </w:tbl>
          <w:p>
            <w:pPr>
              <w:widowControl/>
              <w:spacing w:before="120" w:beforeLines="50" w:line="360" w:lineRule="auto"/>
              <w:ind w:firstLine="480" w:firstLineChars="200"/>
            </w:pPr>
            <w:r>
              <w:t>（4）噪声影响结论</w:t>
            </w:r>
          </w:p>
          <w:p>
            <w:pPr>
              <w:widowControl/>
              <w:spacing w:line="360" w:lineRule="auto"/>
              <w:ind w:firstLine="480" w:firstLineChars="200"/>
            </w:pPr>
            <w:r>
              <w:t>本项目在采取了机械设备加装减震垫，厂房封闭等降噪措施后，昼间噪声在车间外10m 能够达到《工业企业厂界环境噪声排放标准》（GB12348-2008）中 3 类标准的要求，因此，本项目生产噪声对周围声环境影响不大。</w:t>
            </w:r>
          </w:p>
          <w:p>
            <w:pPr>
              <w:widowControl/>
              <w:spacing w:line="360" w:lineRule="auto"/>
              <w:ind w:firstLine="480" w:firstLineChars="200"/>
            </w:pPr>
            <w:r>
              <w:t>（5）噪声监测要求</w:t>
            </w:r>
          </w:p>
          <w:p>
            <w:pPr>
              <w:widowControl/>
              <w:spacing w:line="360" w:lineRule="auto"/>
              <w:ind w:firstLine="480" w:firstLineChars="200"/>
            </w:pPr>
            <w:r>
              <w:t>对项目运营过程中产生的废气进行监测，监测点的选取、监测项目确定均按《排污单位自行监测指南》执行。建设单位现不具备单独进行环境监测的能力，委托有资质的环境监测机构进行监测工作。</w:t>
            </w:r>
          </w:p>
          <w:p>
            <w:pPr>
              <w:widowControl/>
              <w:spacing w:line="360" w:lineRule="auto"/>
              <w:ind w:firstLine="480" w:firstLineChars="200"/>
            </w:pPr>
            <w:r>
              <w:t>依据《排污许可证申请与核发技术规范 总则》（HJ942-2018）和项目内容、企业实际情况，制定相应的监测方案。噪声监测计划具体如表</w:t>
            </w:r>
            <w:r>
              <w:rPr>
                <w:rFonts w:hint="eastAsia"/>
              </w:rPr>
              <w:t>4-12</w:t>
            </w:r>
            <w:r>
              <w:t>所示.</w:t>
            </w:r>
          </w:p>
          <w:p>
            <w:pPr>
              <w:topLinePunct/>
              <w:jc w:val="center"/>
              <w:rPr>
                <w:sz w:val="21"/>
                <w:szCs w:val="21"/>
              </w:rPr>
            </w:pPr>
            <w:r>
              <w:rPr>
                <w:b/>
                <w:bCs/>
                <w:sz w:val="21"/>
                <w:szCs w:val="21"/>
                <w:lang w:bidi="ar"/>
              </w:rPr>
              <w:t>表</w:t>
            </w:r>
            <w:r>
              <w:rPr>
                <w:rFonts w:hint="eastAsia"/>
                <w:b/>
                <w:bCs/>
                <w:sz w:val="21"/>
                <w:szCs w:val="21"/>
                <w:lang w:bidi="ar"/>
              </w:rPr>
              <w:t>4-12</w:t>
            </w:r>
            <w:r>
              <w:rPr>
                <w:b/>
                <w:bCs/>
                <w:sz w:val="21"/>
                <w:szCs w:val="21"/>
                <w:lang w:bidi="ar"/>
              </w:rPr>
              <w:t xml:space="preserve">   项目环境监测计划表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45"/>
              <w:gridCol w:w="1301"/>
              <w:gridCol w:w="1600"/>
              <w:gridCol w:w="369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9"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监测点</w:t>
                  </w:r>
                </w:p>
              </w:tc>
              <w:tc>
                <w:tcPr>
                  <w:tcW w:w="840"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监测频次</w:t>
                  </w:r>
                </w:p>
              </w:tc>
              <w:tc>
                <w:tcPr>
                  <w:tcW w:w="1033"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监测项目</w:t>
                  </w:r>
                </w:p>
              </w:tc>
              <w:tc>
                <w:tcPr>
                  <w:tcW w:w="2386" w:type="pct"/>
                  <w:tcBorders>
                    <w:tl2br w:val="nil"/>
                    <w:tr2bl w:val="nil"/>
                  </w:tcBorders>
                  <w:shd w:val="clear" w:color="auto" w:fill="auto"/>
                  <w:vAlign w:val="center"/>
                </w:tcPr>
                <w:p>
                  <w:pPr>
                    <w:pStyle w:val="46"/>
                    <w:jc w:val="center"/>
                    <w:rPr>
                      <w:rFonts w:ascii="Times New Roman" w:hAnsi="Times New Roman" w:eastAsia="宋体" w:cs="Times New Roman"/>
                      <w:b/>
                      <w:bCs/>
                    </w:rPr>
                  </w:pPr>
                  <w:r>
                    <w:rPr>
                      <w:rFonts w:ascii="Times New Roman" w:hAnsi="Times New Roman" w:eastAsia="宋体" w:cs="Times New Roman"/>
                      <w:b/>
                      <w:bCs/>
                    </w:rPr>
                    <w:t>执行标准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739" w:type="pct"/>
                  <w:tcBorders>
                    <w:tl2br w:val="nil"/>
                    <w:tr2bl w:val="nil"/>
                  </w:tcBorders>
                  <w:shd w:val="clear" w:color="auto" w:fill="auto"/>
                  <w:vAlign w:val="center"/>
                </w:tcPr>
                <w:p>
                  <w:pPr>
                    <w:jc w:val="center"/>
                    <w:rPr>
                      <w:sz w:val="21"/>
                      <w:szCs w:val="21"/>
                    </w:rPr>
                  </w:pPr>
                  <w:r>
                    <w:rPr>
                      <w:sz w:val="21"/>
                      <w:szCs w:val="21"/>
                    </w:rPr>
                    <w:t>厂界</w:t>
                  </w:r>
                </w:p>
              </w:tc>
              <w:tc>
                <w:tcPr>
                  <w:tcW w:w="840" w:type="pct"/>
                  <w:tcBorders>
                    <w:tl2br w:val="nil"/>
                    <w:tr2bl w:val="nil"/>
                  </w:tcBorders>
                  <w:shd w:val="clear" w:color="auto" w:fill="auto"/>
                  <w:vAlign w:val="center"/>
                </w:tcPr>
                <w:p>
                  <w:pPr>
                    <w:pStyle w:val="46"/>
                    <w:jc w:val="center"/>
                    <w:outlineLvl w:val="1"/>
                    <w:rPr>
                      <w:rFonts w:ascii="Times New Roman" w:hAnsi="Times New Roman" w:eastAsia="宋体" w:cs="Times New Roman"/>
                    </w:rPr>
                  </w:pPr>
                  <w:r>
                    <w:rPr>
                      <w:rFonts w:ascii="Times New Roman" w:hAnsi="Times New Roman" w:eastAsia="宋体" w:cs="Times New Roman"/>
                    </w:rPr>
                    <w:t>每季度监测1次</w:t>
                  </w:r>
                </w:p>
              </w:tc>
              <w:tc>
                <w:tcPr>
                  <w:tcW w:w="1033" w:type="pct"/>
                  <w:tcBorders>
                    <w:tl2br w:val="nil"/>
                    <w:tr2bl w:val="nil"/>
                  </w:tcBorders>
                  <w:shd w:val="clear" w:color="auto" w:fill="auto"/>
                  <w:vAlign w:val="center"/>
                </w:tcPr>
                <w:p>
                  <w:pPr>
                    <w:jc w:val="center"/>
                    <w:rPr>
                      <w:sz w:val="21"/>
                      <w:szCs w:val="21"/>
                    </w:rPr>
                  </w:pPr>
                  <w:r>
                    <w:rPr>
                      <w:sz w:val="21"/>
                      <w:szCs w:val="21"/>
                    </w:rPr>
                    <w:t>等效连续A声级</w:t>
                  </w:r>
                </w:p>
              </w:tc>
              <w:tc>
                <w:tcPr>
                  <w:tcW w:w="2386" w:type="pct"/>
                  <w:tcBorders>
                    <w:tl2br w:val="nil"/>
                    <w:tr2bl w:val="nil"/>
                  </w:tcBorders>
                  <w:shd w:val="clear" w:color="auto" w:fill="auto"/>
                  <w:vAlign w:val="center"/>
                </w:tcPr>
                <w:p>
                  <w:pPr>
                    <w:jc w:val="center"/>
                    <w:rPr>
                      <w:sz w:val="21"/>
                      <w:szCs w:val="21"/>
                    </w:rPr>
                  </w:pPr>
                  <w:r>
                    <w:rPr>
                      <w:sz w:val="21"/>
                      <w:szCs w:val="21"/>
                    </w:rPr>
                    <w:t>《工业企业厂界环境噪声排放标准》（GB12348-2008）中3类标准</w:t>
                  </w:r>
                </w:p>
              </w:tc>
            </w:tr>
          </w:tbl>
          <w:p>
            <w:pPr>
              <w:widowControl/>
              <w:spacing w:before="120" w:beforeLines="50" w:line="360" w:lineRule="auto"/>
              <w:jc w:val="left"/>
            </w:pPr>
            <w:r>
              <w:rPr>
                <w:b/>
                <w:bCs/>
                <w:color w:val="000000"/>
                <w:kern w:val="0"/>
                <w:lang w:bidi="ar"/>
              </w:rPr>
              <w:t xml:space="preserve">2.4固体废弃物影响分析 </w:t>
            </w:r>
          </w:p>
          <w:p>
            <w:pPr>
              <w:widowControl/>
              <w:spacing w:line="360" w:lineRule="auto"/>
              <w:ind w:firstLine="480" w:firstLineChars="200"/>
              <w:jc w:val="left"/>
            </w:pPr>
            <w:r>
              <w:rPr>
                <w:color w:val="000000"/>
                <w:kern w:val="0"/>
                <w:lang w:bidi="ar"/>
              </w:rPr>
              <w:t xml:space="preserve">本项目所产固废主要为废活性炭、废防疫装备、废烂水果以及职工产生的生活垃圾。 </w:t>
            </w:r>
          </w:p>
          <w:p>
            <w:pPr>
              <w:widowControl/>
              <w:spacing w:line="360" w:lineRule="auto"/>
              <w:ind w:firstLine="480" w:firstLineChars="200"/>
              <w:jc w:val="left"/>
            </w:pPr>
            <w:r>
              <w:rPr>
                <w:color w:val="000000"/>
                <w:kern w:val="0"/>
                <w:lang w:bidi="ar"/>
              </w:rPr>
              <w:t>（1）废活性炭</w:t>
            </w:r>
          </w:p>
          <w:p>
            <w:pPr>
              <w:widowControl/>
              <w:spacing w:line="360" w:lineRule="auto"/>
              <w:ind w:firstLine="480" w:firstLineChars="200"/>
              <w:jc w:val="left"/>
            </w:pPr>
            <w:r>
              <w:rPr>
                <w:color w:val="auto"/>
                <w:kern w:val="0"/>
                <w:lang w:bidi="ar"/>
              </w:rPr>
              <w:t>本项目活性炭吸附效率按 10kg 活性炭吸附 1kg 废气算，项目废气吸附量按1.426kg/a计，则废活性炭使用量约为 14.26kg/a，根据《国家危险废物名录》（2021 版），废活性炭属于HW49其他废物中非特定行业，危废代码：900-039-49（烟气、VOCs 治理过程（不包括餐饮行业油烟治理过程）产生的废活性炭，化学原料和化学制品脱色（不包括有机合成食品添加剂脱色）、除杂、净化过程产生的废活性炭（不包括 900-405-06、772-005-18、261-053-29、265-002-29、384-003-29、387-001-29 类废物））。集中收集后暂存于危废暂存间（暂存间建设面积4m</w:t>
            </w:r>
            <w:r>
              <w:rPr>
                <w:color w:val="auto"/>
                <w:kern w:val="0"/>
                <w:vertAlign w:val="superscript"/>
                <w:lang w:bidi="ar"/>
              </w:rPr>
              <w:t>2</w:t>
            </w:r>
            <w:r>
              <w:rPr>
                <w:color w:val="auto"/>
                <w:kern w:val="0"/>
                <w:lang w:bidi="ar"/>
              </w:rPr>
              <w:t>，位于项目区南侧，危废暂存间要求详见节（6）），定</w:t>
            </w:r>
            <w:r>
              <w:rPr>
                <w:color w:val="000000"/>
                <w:kern w:val="0"/>
                <w:lang w:bidi="ar"/>
              </w:rPr>
              <w:t>期送往具有危废处置资质单位处理，不随意丢弃，对周围环境影响较小。</w:t>
            </w:r>
          </w:p>
          <w:p>
            <w:pPr>
              <w:widowControl/>
              <w:spacing w:line="360" w:lineRule="auto"/>
              <w:ind w:firstLine="480" w:firstLineChars="200"/>
              <w:jc w:val="left"/>
            </w:pPr>
            <w:r>
              <w:rPr>
                <w:color w:val="000000"/>
                <w:kern w:val="0"/>
                <w:lang w:bidi="ar"/>
              </w:rPr>
              <w:t xml:space="preserve">（2）废防疫装备 </w:t>
            </w:r>
          </w:p>
          <w:p>
            <w:pPr>
              <w:widowControl/>
              <w:spacing w:line="360" w:lineRule="auto"/>
              <w:ind w:firstLine="480" w:firstLineChars="200"/>
              <w:jc w:val="left"/>
            </w:pPr>
            <w:r>
              <w:rPr>
                <w:color w:val="000000"/>
                <w:kern w:val="0"/>
                <w:lang w:bidi="ar"/>
              </w:rPr>
              <w:t xml:space="preserve">工作人员在日常消毒时，需着防护服、戴手套等防疫设备，上述防疫设备可能带有细菌和病毒，属于危险废物 HW01 医疗废物（废物代码 841-001-01）。类比参考资料，预计废弃的防疫装备、药品及其包装物固废产生量约 1.5t/a，交有资质的危险废物单位处理。 </w:t>
            </w:r>
          </w:p>
          <w:p>
            <w:pPr>
              <w:widowControl/>
              <w:spacing w:line="360" w:lineRule="auto"/>
              <w:ind w:firstLine="480" w:firstLineChars="200"/>
              <w:jc w:val="left"/>
            </w:pPr>
            <w:r>
              <w:rPr>
                <w:color w:val="000000"/>
                <w:kern w:val="0"/>
                <w:lang w:bidi="ar"/>
              </w:rPr>
              <w:t xml:space="preserve">（3）废烂水果 </w:t>
            </w:r>
          </w:p>
          <w:p>
            <w:pPr>
              <w:widowControl/>
              <w:spacing w:line="360" w:lineRule="auto"/>
              <w:ind w:firstLine="480" w:firstLineChars="200"/>
              <w:jc w:val="left"/>
            </w:pPr>
            <w:r>
              <w:rPr>
                <w:color w:val="000000"/>
                <w:kern w:val="0"/>
                <w:lang w:bidi="ar"/>
              </w:rPr>
              <w:t xml:space="preserve">本项目废烂水果按处理量的 0.5%计算，则共产生废烂水果 9t/a，集中收集后交由环卫部门处理。 </w:t>
            </w:r>
          </w:p>
          <w:p>
            <w:pPr>
              <w:widowControl/>
              <w:spacing w:line="360" w:lineRule="auto"/>
              <w:ind w:firstLine="480" w:firstLineChars="200"/>
              <w:jc w:val="left"/>
            </w:pPr>
            <w:r>
              <w:rPr>
                <w:color w:val="000000"/>
                <w:kern w:val="0"/>
                <w:lang w:bidi="ar"/>
              </w:rPr>
              <w:t xml:space="preserve">（4）生活垃圾 </w:t>
            </w:r>
          </w:p>
          <w:p>
            <w:pPr>
              <w:widowControl/>
              <w:spacing w:line="360" w:lineRule="auto"/>
              <w:ind w:firstLine="480" w:firstLineChars="200"/>
              <w:jc w:val="left"/>
              <w:rPr>
                <w:color w:val="000000"/>
                <w:kern w:val="0"/>
                <w:lang w:bidi="ar"/>
              </w:rPr>
            </w:pPr>
            <w:r>
              <w:rPr>
                <w:color w:val="000000"/>
                <w:kern w:val="0"/>
                <w:lang w:bidi="ar"/>
              </w:rPr>
              <w:t>本项目劳动定员为 20 人，均不在厂区食宿，年工作以 365d 计，员工生活垃圾产生量按 0.5kg/人·d 计，则生活垃圾产生量约 3.65t/a，项目区设置垃圾箱，生活垃圾集中收集至垃圾桶后，统一清运至环卫部门指定垃圾填埋场处理，不得对外随意丢弃，以最大限度地减少生活垃圾对环境的影响。</w:t>
            </w:r>
          </w:p>
          <w:p>
            <w:pPr>
              <w:widowControl/>
              <w:spacing w:line="360" w:lineRule="auto"/>
              <w:ind w:firstLine="480" w:firstLineChars="200"/>
              <w:jc w:val="left"/>
              <w:rPr>
                <w:color w:val="000000"/>
                <w:kern w:val="0"/>
                <w:lang w:bidi="ar"/>
              </w:rPr>
            </w:pPr>
            <w:r>
              <w:rPr>
                <w:color w:val="000000"/>
                <w:kern w:val="0"/>
                <w:lang w:bidi="ar"/>
              </w:rPr>
              <w:t>（6）建设的危废暂存间要求：</w:t>
            </w:r>
          </w:p>
          <w:p>
            <w:pPr>
              <w:widowControl/>
              <w:spacing w:line="360" w:lineRule="auto"/>
              <w:ind w:firstLine="480" w:firstLineChars="200"/>
              <w:jc w:val="left"/>
              <w:rPr>
                <w:color w:val="000000"/>
                <w:kern w:val="0"/>
                <w:lang w:bidi="ar"/>
              </w:rPr>
            </w:pPr>
            <w:r>
              <w:rPr>
                <w:color w:val="000000"/>
                <w:kern w:val="0"/>
                <w:lang w:bidi="ar"/>
              </w:rPr>
              <w:t>① 要密闭建设，门口内侧设立围堰，地面应做好硬化并涂至少 2mm 厚环氧树脂，以防渗漏和腐蚀，以及“三防”措施（防扬散、防流失、防渗漏）；②危险废物贮存间门口需张贴标准规范的危险废物标识和危废信息板，屋内张贴企业《危险废物管理制度》；③不同种类危险废物应有明显的过道划分，墙上张贴危废名称，固态危废包装需完好无破损并系挂危险废物标签，并按要求填写。</w:t>
            </w:r>
          </w:p>
          <w:p>
            <w:pPr>
              <w:widowControl/>
              <w:spacing w:line="360" w:lineRule="auto"/>
              <w:ind w:firstLine="480" w:firstLineChars="200"/>
              <w:jc w:val="left"/>
              <w:rPr>
                <w:color w:val="000000"/>
                <w:kern w:val="0"/>
                <w:lang w:bidi="ar"/>
              </w:rPr>
            </w:pPr>
            <w:r>
              <w:rPr>
                <w:color w:val="000000"/>
                <w:kern w:val="0"/>
                <w:lang w:bidi="ar"/>
              </w:rPr>
              <w:t>根据《危险废物贮存污染控制标准》GB18597-2001（2013 年修订），中相关要求，危险废物的堆放：</w:t>
            </w:r>
          </w:p>
          <w:p>
            <w:pPr>
              <w:widowControl/>
              <w:spacing w:line="360" w:lineRule="auto"/>
              <w:ind w:firstLine="480" w:firstLineChars="200"/>
              <w:jc w:val="left"/>
              <w:rPr>
                <w:color w:val="000000"/>
                <w:kern w:val="0"/>
                <w:lang w:bidi="ar"/>
              </w:rPr>
            </w:pPr>
            <w:r>
              <w:rPr>
                <w:color w:val="000000"/>
                <w:kern w:val="0"/>
                <w:lang w:bidi="ar"/>
              </w:rPr>
              <w:t>①基础必须防渗，防渗层为至少 1 米厚粘土层（渗透系数≤10-7 厘米/秒），或 2 毫米厚高密度聚乙烯，或至少 2 毫米厚的其它人工材料，渗透系数≤10-10 厘米/秒；②堆放危险废物的高度应根据地面承载能力确定；③衬里放在一个基础或底座上；④衬里要能够覆盖危险废物或其溶出物可能涉及到的范围；⑤衬里材料与堆放危险废物相容；⑥在衬里上设计、建造浸出液收集清除系统；⑦应设计建造径流疏导系统，保证能防止 25 年一遇的暴雨不会流到危险废物堆里；⑧危险废物堆内设计雨水收集池，并能收集 25 年一遇的暴雨 24 小时降水量；⑨危险废物堆要防风、防雨、防晒；⑩产生量大的危险废物可以散装方式堆放贮存在按上述要求设计的废物里；⑪不相容的危险废物不能堆放在一起；⑫总贮存量不超过 300kg(L)的危险废物要放入符合标准的容器内，加上标签，容器放入坚固的柜或箱中，柜或箱应设多个直径不少于 30 毫米的排气孔。不相容危险废物要分别存放或存放在不渗透间隔分开的区域内，每个部分都应有防漏裙脚或储漏盘，防漏裙脚或储漏盘的材料要与危险废物相容。</w:t>
            </w:r>
          </w:p>
          <w:p>
            <w:pPr>
              <w:widowControl/>
              <w:spacing w:line="360" w:lineRule="auto"/>
              <w:ind w:firstLine="480" w:firstLineChars="200"/>
              <w:jc w:val="left"/>
              <w:rPr>
                <w:color w:val="000000"/>
                <w:kern w:val="0"/>
                <w:lang w:bidi="ar"/>
              </w:rPr>
            </w:pPr>
            <w:r>
              <w:rPr>
                <w:color w:val="000000"/>
                <w:kern w:val="0"/>
                <w:lang w:bidi="ar"/>
              </w:rPr>
              <w:t>危险废物贮存设施的运行与管理要求：</w:t>
            </w:r>
          </w:p>
          <w:p>
            <w:pPr>
              <w:widowControl/>
              <w:spacing w:line="360" w:lineRule="auto"/>
              <w:ind w:firstLine="480" w:firstLineChars="200"/>
              <w:jc w:val="left"/>
              <w:rPr>
                <w:color w:val="000000"/>
                <w:kern w:val="0"/>
                <w:lang w:bidi="ar"/>
              </w:rPr>
            </w:pPr>
            <w:r>
              <w:rPr>
                <w:color w:val="000000"/>
                <w:kern w:val="0"/>
                <w:lang w:bidi="ar"/>
              </w:rPr>
              <w:t>①从事危险废物贮存的单位，必须得到有资质单位出具的该危险废物样品物理和化学性质的分析报告，认定可以贮存后，方可接收。②危险废物贮存前应进行检验，确保同预定接收的危险废物一致，并登记注册；③不得接收未粘贴符合 4.9 规定的标签或标签没按规定填写的危险废物；④盛装在容器内的同类危险废物可以堆叠存放⑤每个堆间应留有搬运通道；⑥不得将不相容的废物混合或合并存放；⑦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三年；⑧必须定期对所贮存的危险废物包装容器及贮存设施进行检查，发现破损，应及时采取措施清理更换。</w:t>
            </w:r>
          </w:p>
          <w:p>
            <w:pPr>
              <w:widowControl/>
              <w:spacing w:line="360" w:lineRule="auto"/>
              <w:ind w:firstLine="480" w:firstLineChars="200"/>
              <w:jc w:val="left"/>
              <w:rPr>
                <w:color w:val="000000"/>
                <w:kern w:val="0"/>
                <w:lang w:bidi="ar"/>
              </w:rPr>
            </w:pPr>
            <w:r>
              <w:rPr>
                <w:color w:val="000000"/>
                <w:kern w:val="0"/>
                <w:lang w:bidi="ar"/>
              </w:rPr>
              <w:t>危险废物贮存设施的安全防护要求：</w:t>
            </w:r>
          </w:p>
          <w:p>
            <w:pPr>
              <w:widowControl/>
              <w:spacing w:line="360" w:lineRule="auto"/>
              <w:ind w:firstLine="480" w:firstLineChars="200"/>
              <w:jc w:val="left"/>
              <w:rPr>
                <w:color w:val="000000"/>
                <w:kern w:val="0"/>
                <w:lang w:bidi="ar"/>
              </w:rPr>
            </w:pPr>
            <w:r>
              <w:rPr>
                <w:color w:val="000000"/>
                <w:kern w:val="0"/>
                <w:lang w:bidi="ar"/>
              </w:rPr>
              <w:t>①危险废物贮存设施都必须按GB15562.2 的规定设置警示标志；②危险废物贮存设施周围应设置围墙或其它防护栅栏；③危险废物贮存设施应配备通讯设备、照明设施、安全防护服装及工具，并设有应急防护设施；④危险废物贮存设施内清理出来的泄漏物，一律按危险废物处理。</w:t>
            </w:r>
          </w:p>
          <w:p>
            <w:pPr>
              <w:widowControl/>
              <w:spacing w:line="360" w:lineRule="auto"/>
              <w:ind w:firstLine="480" w:firstLineChars="200"/>
              <w:jc w:val="left"/>
            </w:pPr>
            <w:r>
              <w:rPr>
                <w:color w:val="000000"/>
                <w:kern w:val="0"/>
                <w:lang w:bidi="ar"/>
              </w:rPr>
              <w:t>综上所述，项目固体废弃物处理符合《一般工业固体废物贮存和填埋污染控制标准》（GB18599-2020）和《危险废物贮存污染控制标准》（GB18597－2023）的标准要求，对周围环境影响较小。</w:t>
            </w:r>
          </w:p>
          <w:p>
            <w:pPr>
              <w:widowControl/>
              <w:spacing w:line="360" w:lineRule="auto"/>
              <w:jc w:val="left"/>
              <w:rPr>
                <w:b/>
                <w:bCs/>
                <w:kern w:val="0"/>
                <w:lang w:bidi="ar"/>
              </w:rPr>
            </w:pPr>
            <w:r>
              <w:rPr>
                <w:b/>
                <w:bCs/>
                <w:kern w:val="0"/>
                <w:lang w:bidi="ar"/>
              </w:rPr>
              <w:t>2.5.地下水、土壤影响分析</w:t>
            </w:r>
          </w:p>
          <w:p>
            <w:pPr>
              <w:widowControl/>
              <w:spacing w:line="360" w:lineRule="auto"/>
              <w:ind w:firstLine="480" w:firstLineChars="200"/>
            </w:pPr>
            <w:r>
              <w:t>（1）对地下水的影响</w:t>
            </w:r>
          </w:p>
          <w:p>
            <w:pPr>
              <w:widowControl/>
              <w:spacing w:line="360" w:lineRule="auto"/>
              <w:ind w:firstLine="480" w:firstLineChars="200"/>
            </w:pPr>
            <w:r>
              <w:t>1）对地下水的影响分析</w:t>
            </w:r>
          </w:p>
          <w:p>
            <w:pPr>
              <w:widowControl/>
              <w:spacing w:line="360" w:lineRule="auto"/>
              <w:ind w:firstLine="480" w:firstLineChars="200"/>
            </w:pPr>
            <w:r>
              <w:t>本项目可能对地下水造成影响的是因设备老化或操作不当造成的管道、储罐、装置区的跑冒滴漏，会因入渗而污染地下水。</w:t>
            </w:r>
          </w:p>
          <w:p>
            <w:pPr>
              <w:widowControl/>
              <w:spacing w:line="360" w:lineRule="auto"/>
              <w:ind w:firstLine="480" w:firstLineChars="200"/>
            </w:pPr>
            <w:r>
              <w:t>2）为保护该区地下水，建议该项目采取以下措施：</w:t>
            </w:r>
          </w:p>
          <w:p>
            <w:pPr>
              <w:widowControl/>
              <w:spacing w:line="360" w:lineRule="auto"/>
              <w:ind w:firstLine="480" w:firstLineChars="200"/>
            </w:pPr>
            <w:r>
              <w:t>① 该项目无害化处理区、制冷机厂房、危废暂存间等都必须进行防渗处理；② 固体废物堆放场地、垃圾集中箱放置场地要做好防渗处理，且尽量减少垃圾堆放的时间，及时清运、禁止露天堆放；</w:t>
            </w:r>
          </w:p>
          <w:p>
            <w:pPr>
              <w:widowControl/>
              <w:spacing w:line="360" w:lineRule="auto"/>
              <w:ind w:firstLine="480" w:firstLineChars="200"/>
            </w:pPr>
            <w:r>
              <w:t>3）分区防渗措施</w:t>
            </w:r>
          </w:p>
          <w:p>
            <w:pPr>
              <w:widowControl/>
              <w:spacing w:line="360" w:lineRule="auto"/>
              <w:ind w:firstLine="480" w:firstLineChars="200"/>
            </w:pPr>
            <w:r>
              <w:t>根据分区防治的原则对项目厂区的无害化处理区、制冷机厂房、危废暂存间、办公用房、宿舍、厂区道路等进行分区防渗，对照《环境影响技术导则——地下水环境》（HJ610-2016）地下水污染防渗分区参照表，项目无害化处理区、制冷机厂房为重点防渗区，危废暂存间为一般防渗区，办公用房、职工宿舍、厂区道路为简单防渗区。详见附图9。项目各区采取的地下水防治措施如下。</w:t>
            </w:r>
          </w:p>
          <w:p>
            <w:pPr>
              <w:widowControl/>
              <w:spacing w:line="360" w:lineRule="auto"/>
              <w:ind w:firstLine="480" w:firstLineChars="200"/>
            </w:pPr>
            <w:r>
              <w:t>①重点防渗区</w:t>
            </w:r>
          </w:p>
          <w:p>
            <w:pPr>
              <w:widowControl/>
              <w:spacing w:line="360" w:lineRule="auto"/>
              <w:ind w:firstLine="480" w:firstLineChars="200"/>
            </w:pPr>
            <w:r>
              <w:t>本工程无害化处理区、制冷机厂房，为重点防渗区，用钢筋混凝土，池底涂环氧树脂防腐防渗，表面刷涂水泥基渗透结晶型防渗涂料，渗透系数≤1×10</w:t>
            </w:r>
            <w:r>
              <w:rPr>
                <w:vertAlign w:val="superscript"/>
              </w:rPr>
              <w:t>-12</w:t>
            </w:r>
            <w:r>
              <w:t>cm/s）。对比防渗技术要求，本项目重点防渗区采取的防渗措施满足防渗技术要求，设自动检测报警、消防、围堰、导排流、事故池等设施。</w:t>
            </w:r>
          </w:p>
          <w:p>
            <w:pPr>
              <w:widowControl/>
              <w:spacing w:line="360" w:lineRule="auto"/>
              <w:ind w:firstLine="480" w:firstLineChars="200"/>
            </w:pPr>
            <w:r>
              <w:t>②一般防渗区</w:t>
            </w:r>
          </w:p>
          <w:p>
            <w:pPr>
              <w:widowControl/>
              <w:spacing w:line="360" w:lineRule="auto"/>
              <w:ind w:firstLine="480" w:firstLineChars="200"/>
            </w:pPr>
            <w:r>
              <w:t>一般防渗区为危废暂存间，主要进行一般地面硬化措施。危废暂存间在抗渗混凝土面层(包括钢筋混凝土、钢纤维混凝土）中掺水泥基渗透结晶型防水剂，其下铺砌砂石基层，原土夯实达到防渗的目的。对于混凝土中间的伸缩缝和实体基础的缝隙，通过填充柔性材料达到防渗目的。</w:t>
            </w:r>
          </w:p>
          <w:p>
            <w:pPr>
              <w:widowControl/>
              <w:spacing w:line="360" w:lineRule="auto"/>
              <w:ind w:firstLine="480" w:firstLineChars="200"/>
            </w:pPr>
            <w:r>
              <w:t>一般防渗区等效黏土防渗层渗透系数≤1×10</w:t>
            </w:r>
            <w:r>
              <w:rPr>
                <w:vertAlign w:val="superscript"/>
              </w:rPr>
              <w:t>-7</w:t>
            </w:r>
            <w:r>
              <w:t>cm/s，渗透系数≤渗透系数等效黏土防渗，与《环境影响评价技术导则地下水环境》（HJ610-2016）中的防渗技术要求相符。</w:t>
            </w:r>
          </w:p>
          <w:p>
            <w:pPr>
              <w:widowControl/>
              <w:spacing w:line="360" w:lineRule="auto"/>
              <w:ind w:firstLine="480" w:firstLineChars="200"/>
            </w:pPr>
            <w:r>
              <w:t>③简单防渗区</w:t>
            </w:r>
          </w:p>
          <w:p>
            <w:pPr>
              <w:widowControl/>
              <w:spacing w:line="360" w:lineRule="auto"/>
              <w:ind w:firstLine="480" w:firstLineChars="200"/>
            </w:pPr>
            <w:r>
              <w:t>简单防渗区为办公用房、职工宿舍、厂区道路等，采用水泥硬化。</w:t>
            </w:r>
          </w:p>
          <w:p>
            <w:pPr>
              <w:widowControl/>
              <w:spacing w:line="360" w:lineRule="auto"/>
              <w:ind w:firstLine="480" w:firstLineChars="200"/>
            </w:pPr>
            <w:r>
              <w:t>（2）对土壤的影响</w:t>
            </w:r>
          </w:p>
          <w:p>
            <w:pPr>
              <w:widowControl/>
              <w:spacing w:line="360" w:lineRule="auto"/>
              <w:ind w:firstLine="480" w:firstLineChars="200"/>
            </w:pPr>
            <w:r>
              <w:t>本项目土壤环境影响类型为“污染影响型”，污染物影响途径主要为废水污染物以垂直入渗方式进入土壤环境。根据土壤环境质量现状监测，土壤相关因子均满足《土壤环境质量 建设用地土壤污染风险管控标准（试行）》（GB36600-2018）中相关标准。本项目主要为污水管线和污水处理设施事故状态下造成土壤污染，由于项目区无害化处理区、制冷机厂房、危废暂存间、办公用房、职工宿舍、厂区道路等均按照不同要求进行了防渗处理，在事故状态可及时发现，可避免污染事故的扩大，污水进入土壤的入渗量很小，对土壤的影响不大，所以项目建设对区域土壤环境影响可接受。</w:t>
            </w:r>
          </w:p>
          <w:p>
            <w:pPr>
              <w:widowControl/>
              <w:spacing w:line="360" w:lineRule="auto"/>
              <w:jc w:val="left"/>
              <w:rPr>
                <w:b/>
                <w:bCs/>
                <w:kern w:val="0"/>
                <w:lang w:bidi="ar"/>
              </w:rPr>
            </w:pPr>
            <w:r>
              <w:rPr>
                <w:b/>
                <w:bCs/>
                <w:kern w:val="0"/>
                <w:lang w:bidi="ar"/>
              </w:rPr>
              <w:t>2.6生态环境影响分析</w:t>
            </w:r>
          </w:p>
          <w:p>
            <w:pPr>
              <w:widowControl/>
              <w:spacing w:line="360" w:lineRule="auto"/>
              <w:ind w:firstLine="480" w:firstLineChars="200"/>
            </w:pPr>
            <w:r>
              <w:t>项目周围无环境敏感点，对当地生态环境造成的影响很小，本项目只要在项目实施过程中切实做好废气、废水达标排放和噪声防治工作，各类固体废物妥善处置，则项目的建设对生态的影响不大。</w:t>
            </w:r>
          </w:p>
          <w:p>
            <w:pPr>
              <w:widowControl/>
              <w:spacing w:line="360" w:lineRule="auto"/>
              <w:jc w:val="left"/>
              <w:rPr>
                <w:b/>
                <w:bCs/>
                <w:kern w:val="0"/>
                <w:lang w:bidi="ar"/>
              </w:rPr>
            </w:pPr>
            <w:r>
              <w:rPr>
                <w:b/>
                <w:bCs/>
                <w:kern w:val="0"/>
                <w:lang w:bidi="ar"/>
              </w:rPr>
              <w:t>2.7项目风险防范措施及应急要求</w:t>
            </w:r>
          </w:p>
          <w:p>
            <w:pPr>
              <w:widowControl/>
              <w:spacing w:line="360" w:lineRule="auto"/>
              <w:ind w:firstLine="480" w:firstLineChars="200"/>
            </w:pPr>
            <w: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widowControl/>
              <w:spacing w:line="360" w:lineRule="auto"/>
              <w:ind w:firstLine="480" w:firstLineChars="200"/>
            </w:pPr>
            <w:r>
              <w:t>（1）风险识别</w:t>
            </w:r>
          </w:p>
          <w:p>
            <w:pPr>
              <w:widowControl/>
              <w:spacing w:line="360" w:lineRule="auto"/>
              <w:ind w:firstLine="480" w:firstLineChars="200"/>
            </w:pPr>
            <w:r>
              <w:t>本项目涉及的危险物质主要为溴甲烷，以及吸收溴甲烷的废活性炭，根据《建设项目环境风险评价技术导则》（HJ169-2018）附录 B，属于重点关注的危险物质，该物质的临界量为7.5t。</w:t>
            </w:r>
          </w:p>
          <w:p>
            <w:pPr>
              <w:widowControl/>
              <w:spacing w:line="360" w:lineRule="auto"/>
              <w:ind w:firstLine="480" w:firstLineChars="200"/>
            </w:pPr>
            <w:r>
              <w:t>（2）风险潜势判断</w:t>
            </w:r>
          </w:p>
          <w:p>
            <w:pPr>
              <w:widowControl/>
              <w:spacing w:line="360" w:lineRule="auto"/>
              <w:ind w:firstLine="480" w:firstLineChars="200"/>
            </w:pPr>
            <w:r>
              <w:t>根据《建设项目环境风险评价技术导则》（HJ169-2018）附录B，并综合考虑项目所使用的主要原辅材料，确定项目涉及危险品数量较少。危险物质数量与临界量的比值Q为0.00128＜1，确定本项目环境风险潜势为Ⅰ。评价等级确定为简单分析。</w:t>
            </w:r>
          </w:p>
          <w:p>
            <w:pPr>
              <w:widowControl/>
              <w:spacing w:line="360" w:lineRule="auto"/>
              <w:ind w:firstLine="480" w:firstLineChars="200"/>
            </w:pPr>
            <w:r>
              <w:t>（3）环境影响途径及危害后果</w:t>
            </w:r>
          </w:p>
          <w:p>
            <w:pPr>
              <w:widowControl/>
              <w:spacing w:line="360" w:lineRule="auto"/>
              <w:ind w:firstLine="480" w:firstLineChars="200"/>
            </w:pPr>
            <w:r>
              <w:t>①活性炭吸附装置更换的废活性炭，是含有害气体的介质，若存放不当，会对周围环境及人造成危害；②废防疫装备属于危险废物，如果存放不妥当，可能引起区域污染，进一步污染大气等环境风险；③废气处理设施发生故障，导致未经处理的废气直接排入大气环境中，对周边大气环境造成短时间、突发性的污染；④项目区用电设备居多，用电量大，如果不定期检查，容易引起火灾，火灾产生大量浓烟，主要污染物为二氧化碳、一氧化碳、畑尘、二氧化硫、氮氧化物等，浓度范围在数十至数百mg/m</w:t>
            </w:r>
            <w:r>
              <w:rPr>
                <w:vertAlign w:val="superscript"/>
              </w:rPr>
              <w:t>3</w:t>
            </w:r>
            <w:r>
              <w:t>之间，对于下风向的环境空气质量在短时间内有较大影响。</w:t>
            </w:r>
          </w:p>
          <w:p>
            <w:pPr>
              <w:widowControl/>
              <w:spacing w:line="360" w:lineRule="auto"/>
              <w:ind w:firstLine="480" w:firstLineChars="200"/>
            </w:pPr>
            <w:r>
              <w:t>（4）风险防范措施</w:t>
            </w:r>
          </w:p>
          <w:p>
            <w:pPr>
              <w:widowControl/>
              <w:spacing w:line="360" w:lineRule="auto"/>
              <w:ind w:firstLine="480" w:firstLineChars="200"/>
            </w:pPr>
            <w:r>
              <w:t>①定期进行安全保护系统检查，截止阀、安全阀等应处于良好状态。加强日常维护与管理，定期检</w:t>
            </w:r>
            <w:r>
              <w:rPr>
                <w:rFonts w:hint="eastAsia"/>
                <w:lang w:eastAsia="zh-CN"/>
              </w:rPr>
              <w:t>查</w:t>
            </w:r>
            <w:r>
              <w:t>和测量管壁厚度。加强维护保养，所有管线、阀件都应固定牢靠、连接紧密、严密不漏。②本项目需要做好消防废水收集管网的建设，建立消防废水收集系统。厂内应设置事故水池（10m</w:t>
            </w:r>
            <w:r>
              <w:rPr>
                <w:vertAlign w:val="superscript"/>
              </w:rPr>
              <w:t>3</w:t>
            </w:r>
            <w:r>
              <w:t>）和消防水池（15m</w:t>
            </w:r>
            <w:r>
              <w:rPr>
                <w:vertAlign w:val="superscript"/>
              </w:rPr>
              <w:t>3</w:t>
            </w:r>
            <w:r>
              <w:t>），防止消防水对地表水造成污染。③本项目涉及有毒气体的使用，处理区周边设置气体探测装置，装置与熏蒸投药系统以及药剂回收系统联动，当检测到周边气体超过临界浓度，可以立即停止投药系统，并启动药剂回收系统，熏蒸系统在封闭空间运行，这样可以最大程度减少泄漏概率。④熏蒸过程中，根据系统的各个传感器，精准控制熏蒸时温度，维持在 10℃左右，设备周边严禁使用明火，以防溴甲烷燃烧爆炸。⑤熏蒸处理区的安全距离是 50m，熏蒸区处理过程 50m 严禁人员活动，并且建筑物也要保持这个安全距离。⑥项目产生的固体危险废物，严格管理要求，危废暂存间严格按照环评要求建设，固废分类储存，做到出入库有记录。⑦火灾等事故发生后，应立即向有关环境管理部门报告，请求环境管理部门应急监测工作组进行应急监测，综合分析突发环境事故污染变化趋势，预测突发污染事故的发展情况和污染物的变化情况，作为突发环境事件应急决策的依据。</w:t>
            </w:r>
          </w:p>
          <w:p>
            <w:pPr>
              <w:widowControl/>
              <w:spacing w:line="360" w:lineRule="auto"/>
              <w:ind w:firstLine="480" w:firstLineChars="200"/>
            </w:pPr>
          </w:p>
          <w:p>
            <w:pPr>
              <w:widowControl/>
              <w:spacing w:line="360" w:lineRule="auto"/>
              <w:ind w:firstLine="480" w:firstLineChars="200"/>
            </w:pPr>
          </w:p>
          <w:p>
            <w:pPr>
              <w:widowControl/>
              <w:spacing w:line="360" w:lineRule="auto"/>
              <w:ind w:firstLine="480" w:firstLineChars="200"/>
            </w:pPr>
          </w:p>
          <w:p>
            <w:pPr>
              <w:widowControl/>
              <w:spacing w:line="360" w:lineRule="auto"/>
              <w:ind w:firstLine="480" w:firstLineChars="200"/>
            </w:pPr>
          </w:p>
          <w:p>
            <w:pPr>
              <w:widowControl/>
              <w:spacing w:line="360" w:lineRule="auto"/>
              <w:ind w:firstLine="480" w:firstLineChars="200"/>
            </w:pPr>
          </w:p>
          <w:p>
            <w:pPr>
              <w:widowControl/>
              <w:spacing w:line="360" w:lineRule="auto"/>
              <w:ind w:firstLine="480" w:firstLineChars="200"/>
            </w:pPr>
          </w:p>
          <w:p>
            <w:pPr>
              <w:widowControl/>
              <w:spacing w:line="360" w:lineRule="auto"/>
              <w:ind w:firstLine="480" w:firstLineChars="20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9" w:type="dxa"/>
            <w:vAlign w:val="center"/>
          </w:tcPr>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r>
              <w:rPr>
                <w:rFonts w:ascii="Times New Roman" w:hAnsi="Times New Roman"/>
                <w:bCs/>
                <w:kern w:val="2"/>
                <w:szCs w:val="24"/>
              </w:rPr>
              <w:t>选址选线环境合理性分析</w:t>
            </w: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p>
            <w:pPr>
              <w:pStyle w:val="19"/>
              <w:adjustRightInd w:val="0"/>
              <w:snapToGrid w:val="0"/>
              <w:spacing w:before="0" w:beforeAutospacing="0" w:after="0" w:afterAutospacing="0"/>
              <w:jc w:val="center"/>
              <w:rPr>
                <w:rFonts w:ascii="Times New Roman" w:hAnsi="Times New Roman"/>
                <w:bCs/>
                <w:kern w:val="2"/>
                <w:szCs w:val="24"/>
              </w:rPr>
            </w:pPr>
          </w:p>
        </w:tc>
        <w:tc>
          <w:tcPr>
            <w:tcW w:w="7965" w:type="dxa"/>
          </w:tcPr>
          <w:p>
            <w:pPr>
              <w:autoSpaceDE w:val="0"/>
              <w:spacing w:before="120" w:beforeLines="50" w:line="360" w:lineRule="auto"/>
              <w:ind w:firstLine="480" w:firstLineChars="200"/>
              <w:rPr>
                <w:lang w:bidi="ar"/>
              </w:rPr>
            </w:pPr>
            <w:r>
              <w:rPr>
                <w:bCs/>
                <w:lang w:bidi="ar"/>
              </w:rPr>
              <w:t>（1）燃气管道建设项目</w:t>
            </w:r>
          </w:p>
          <w:p>
            <w:pPr>
              <w:autoSpaceDE w:val="0"/>
              <w:spacing w:line="360" w:lineRule="auto"/>
              <w:ind w:firstLine="480" w:firstLineChars="200"/>
              <w:rPr>
                <w:lang w:bidi="ar"/>
              </w:rPr>
            </w:pPr>
            <w:r>
              <w:rPr>
                <w:lang w:bidi="ar"/>
              </w:rPr>
              <w:t>本工程区施工营地只进行场地清理和平整，不进行硬化。施工营地主要为临时施工生产区，施工期不设临时生活区，租用当地现有房屋，由于</w:t>
            </w:r>
            <w:r>
              <w:rPr>
                <w:kern w:val="0"/>
                <w:lang w:bidi="ar"/>
              </w:rPr>
              <w:t>本工程为天然气管道工程施工，</w:t>
            </w:r>
            <w:r>
              <w:rPr>
                <w:lang w:bidi="ar"/>
              </w:rPr>
              <w:t>本次施工营地的选择有利于生产、安全可靠、方便生活、集中管理、经济合理，且施工营地的选址做到了节约用地、因地制宜、充分利用地形并结合场内外交通线路、施工方便、经济合理的原则布置。</w:t>
            </w:r>
          </w:p>
          <w:p>
            <w:pPr>
              <w:autoSpaceDE w:val="0"/>
              <w:spacing w:line="360" w:lineRule="auto"/>
              <w:ind w:firstLine="480" w:firstLineChars="200"/>
            </w:pPr>
            <w:r>
              <w:rPr>
                <w:kern w:val="28"/>
                <w:lang w:bidi="ar"/>
              </w:rPr>
              <w:t>施工区附近有园区道路，</w:t>
            </w:r>
            <w:r>
              <w:rPr>
                <w:lang w:bidi="ar"/>
              </w:rPr>
              <w:t>交通条件良好，有利于施工人员的进出。施工结束后，清除施工场地内的临时构筑物，清理平整，施工临时占地不改变原有地形地貌，不破坏植被，综上所述，项目施工场地设置合理。</w:t>
            </w:r>
          </w:p>
          <w:p>
            <w:pPr>
              <w:spacing w:line="360" w:lineRule="auto"/>
              <w:ind w:firstLine="480" w:firstLineChars="200"/>
              <w:rPr>
                <w:bCs/>
              </w:rPr>
            </w:pPr>
            <w:r>
              <w:rPr>
                <w:bCs/>
                <w:lang w:bidi="ar"/>
              </w:rPr>
              <w:t>因此本工程实施后不会对沿线居民声环境、大气环境、生态环境、水环境产生明显影响，通过加强管理、采取有效可行的相关环保措施后，可使工程对沿线生态环境影响降到最低，项目线路布置合理、可行。</w:t>
            </w:r>
          </w:p>
          <w:p>
            <w:pPr>
              <w:tabs>
                <w:tab w:val="left" w:pos="2820"/>
              </w:tabs>
              <w:spacing w:line="360" w:lineRule="auto"/>
              <w:ind w:firstLine="480" w:firstLineChars="200"/>
              <w:rPr>
                <w:bCs/>
                <w:lang w:bidi="ar"/>
              </w:rPr>
            </w:pPr>
            <w:r>
              <w:rPr>
                <w:bCs/>
                <w:lang w:bidi="ar"/>
              </w:rPr>
              <w:t>（2）</w:t>
            </w:r>
            <w:r>
              <w:rPr>
                <w:kern w:val="21"/>
              </w:rPr>
              <w:t>航空货运区建设项目</w:t>
            </w:r>
          </w:p>
          <w:p>
            <w:pPr>
              <w:tabs>
                <w:tab w:val="left" w:pos="2820"/>
              </w:tabs>
              <w:spacing w:line="360" w:lineRule="auto"/>
              <w:ind w:firstLine="480" w:firstLineChars="200"/>
            </w:pPr>
            <w:r>
              <w:rPr>
                <w:bCs/>
                <w:lang w:bidi="ar"/>
              </w:rPr>
              <w:t>本项目无其他</w:t>
            </w:r>
            <w:r>
              <w:rPr>
                <w:bCs/>
              </w:rPr>
              <w:t>选址选线比照。</w:t>
            </w:r>
          </w:p>
        </w:tc>
      </w:tr>
    </w:tbl>
    <w:p>
      <w:pPr>
        <w:pStyle w:val="19"/>
        <w:adjustRightInd w:val="0"/>
        <w:snapToGrid w:val="0"/>
        <w:jc w:val="center"/>
        <w:rPr>
          <w:rFonts w:ascii="Times New Roman" w:hAnsi="Times New Roman" w:eastAsia="黑体"/>
          <w:snapToGrid w:val="0"/>
          <w:sz w:val="36"/>
          <w:szCs w:val="36"/>
        </w:rPr>
        <w:sectPr>
          <w:pgSz w:w="11906" w:h="16838"/>
          <w:pgMar w:top="1440" w:right="1800" w:bottom="1440" w:left="1800" w:header="851" w:footer="1077" w:gutter="0"/>
          <w:cols w:space="720" w:num="1"/>
          <w:docGrid w:linePitch="312" w:charSpace="0"/>
        </w:sectPr>
      </w:pP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五、主要生态环境保护措施</w:t>
      </w:r>
    </w:p>
    <w:tbl>
      <w:tblPr>
        <w:tblStyle w:val="23"/>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1"/>
        <w:gridCol w:w="7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551" w:type="dxa"/>
            <w:tcMar>
              <w:left w:w="28" w:type="dxa"/>
              <w:right w:w="28" w:type="dxa"/>
            </w:tcMar>
            <w:vAlign w:val="center"/>
          </w:tcPr>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施工期生态环境保护措施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tc>
        <w:tc>
          <w:tcPr>
            <w:tcW w:w="7953" w:type="dxa"/>
          </w:tcPr>
          <w:p>
            <w:pPr>
              <w:spacing w:before="120" w:beforeLines="50" w:line="360" w:lineRule="auto"/>
              <w:rPr>
                <w:b/>
                <w:bCs/>
                <w:lang w:bidi="ar"/>
              </w:rPr>
            </w:pPr>
            <w:r>
              <w:rPr>
                <w:b/>
                <w:bCs/>
              </w:rPr>
              <w:t>1、燃气管道建设项目</w:t>
            </w:r>
          </w:p>
          <w:p>
            <w:pPr>
              <w:topLinePunct/>
              <w:spacing w:line="360" w:lineRule="auto"/>
              <w:ind w:firstLine="480" w:firstLineChars="200"/>
            </w:pPr>
            <w:r>
              <w:t>本工程施工期间产生的大气污染主要为扬尘和车辆尾气；废水污染主要为建筑施工废水；噪声污染主要为各类高噪声施工机械产生的噪声；生态影响主要为施工期间的水土流失。总体来说，施工期的环境影响是暂时的，随着施工期的结束其污染将随之消失。</w:t>
            </w:r>
          </w:p>
          <w:p>
            <w:pPr>
              <w:topLinePunct/>
              <w:spacing w:line="360" w:lineRule="auto"/>
              <w:rPr>
                <w:b/>
                <w:bCs/>
              </w:rPr>
            </w:pPr>
            <w:r>
              <w:rPr>
                <w:b/>
                <w:bCs/>
              </w:rPr>
              <w:t>1.1施工期大气环境保护措施</w:t>
            </w:r>
          </w:p>
          <w:p>
            <w:pPr>
              <w:autoSpaceDE w:val="0"/>
              <w:spacing w:line="360" w:lineRule="auto"/>
              <w:ind w:firstLine="480"/>
              <w:rPr>
                <w:b/>
                <w:bCs/>
                <w:lang w:bidi="ar"/>
              </w:rPr>
            </w:pPr>
            <w:r>
              <w:rPr>
                <w:b/>
                <w:bCs/>
              </w:rPr>
              <w:t>（1）施工扬尘</w:t>
            </w:r>
          </w:p>
          <w:p>
            <w:pPr>
              <w:autoSpaceDE w:val="0"/>
              <w:spacing w:line="360" w:lineRule="auto"/>
              <w:ind w:firstLine="480"/>
            </w:pPr>
            <w:r>
              <w:rPr>
                <w:lang w:bidi="ar"/>
              </w:rPr>
              <w:t>为减轻项目施工作业扬尘对周围环境的影响，根据《新疆维吾尔自治区大气污染防治条例》(新疆维吾尔自治区第十三届人民代表大会常务委员会公告第15号）及《建筑工程绿色环保施工管理规范》(DB65/T 4060--2017）相关要求，项目拟采取如下防治措施：</w:t>
            </w:r>
          </w:p>
          <w:p>
            <w:pPr>
              <w:topLinePunct/>
              <w:spacing w:line="360" w:lineRule="auto"/>
              <w:ind w:firstLine="480" w:firstLineChars="200"/>
              <w:rPr>
                <w:snapToGrid w:val="0"/>
                <w:kern w:val="0"/>
              </w:rPr>
            </w:pPr>
            <w:r>
              <w:rPr>
                <w:snapToGrid w:val="0"/>
                <w:kern w:val="0"/>
              </w:rPr>
              <w:t>1）在施工过程中，作业场地将采取围挡、围护以减少扬尘扩散，围挡、围护对减少扬尘对环境的污染有明显作用，当风速为2.5m/s时可使影响距离缩短40%。在施工现场周围，连续设置不低于1.5m高的围挡，并做到坚固美观。</w:t>
            </w:r>
          </w:p>
          <w:p>
            <w:pPr>
              <w:topLinePunct/>
              <w:spacing w:line="360" w:lineRule="auto"/>
              <w:ind w:firstLine="480" w:firstLineChars="200"/>
              <w:contextualSpacing/>
              <w:rPr>
                <w:snapToGrid w:val="0"/>
                <w:kern w:val="0"/>
              </w:rPr>
            </w:pPr>
            <w:r>
              <w:rPr>
                <w:snapToGrid w:val="0"/>
                <w:kern w:val="0"/>
              </w:rPr>
              <w:t>2）在施工场地安排员工定期对施工场地洒水以减少扬尘量，洒水次数根据天气状况而定，当风速较小时，一般每天洒水1~2次，若遇到大风或干燥天气可适当增加洒水次数。</w:t>
            </w:r>
          </w:p>
          <w:p>
            <w:pPr>
              <w:topLinePunct/>
              <w:spacing w:line="360" w:lineRule="auto"/>
              <w:ind w:firstLine="480" w:firstLineChars="200"/>
              <w:contextualSpacing/>
              <w:rPr>
                <w:snapToGrid w:val="0"/>
                <w:kern w:val="0"/>
              </w:rPr>
            </w:pPr>
            <w:r>
              <w:rPr>
                <w:snapToGrid w:val="0"/>
                <w:kern w:val="0"/>
              </w:rPr>
              <w:t>3）尽量避免在大风天气下进行施工作业。</w:t>
            </w:r>
          </w:p>
          <w:p>
            <w:pPr>
              <w:overflowPunct w:val="0"/>
              <w:spacing w:line="360" w:lineRule="auto"/>
              <w:ind w:firstLine="480" w:firstLineChars="200"/>
              <w:contextualSpacing/>
            </w:pPr>
            <w:r>
              <w:t>4）建筑材料的防尘管理措施：施工过程中使用水泥、石灰、砂石、涂料、铺装材料等易产生扬尘的建筑材料，应采取下列措施之一：a)密闭存储；b)设置围挡或堆砌围墙；c)采用防尘布苫盖。</w:t>
            </w:r>
          </w:p>
          <w:p>
            <w:pPr>
              <w:overflowPunct w:val="0"/>
              <w:spacing w:line="360" w:lineRule="auto"/>
              <w:ind w:firstLine="480" w:firstLineChars="200"/>
              <w:contextualSpacing/>
            </w:pPr>
            <w:r>
              <w:t>5）建筑垃圾的防尘管理措施：施工工程中产生的弃料或其他建筑垃圾，应及时清运。若在工地内堆置超过一周的，则应采取下列措施之一：a)覆盖防尘布、防尘网；b)定期喷水压尘等。</w:t>
            </w:r>
          </w:p>
          <w:p>
            <w:pPr>
              <w:overflowPunct w:val="0"/>
              <w:spacing w:line="360" w:lineRule="auto"/>
              <w:ind w:firstLine="480" w:firstLineChars="200"/>
              <w:contextualSpacing/>
            </w:pPr>
            <w:r>
              <w:t>6）进出施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pPr>
              <w:overflowPunct w:val="0"/>
              <w:spacing w:line="360" w:lineRule="auto"/>
              <w:ind w:firstLine="480" w:firstLineChars="200"/>
              <w:contextualSpacing/>
            </w:pPr>
            <w:r>
              <w:t>7）施工工地道路积尘清理措施，可采用吸尘或水冲洗的方法清洁施工工地道路积尘，不得在未实施洒水等抑尘措施情况下进行直接清扫。</w:t>
            </w:r>
          </w:p>
          <w:p>
            <w:pPr>
              <w:overflowPunct w:val="0"/>
              <w:spacing w:line="360" w:lineRule="auto"/>
              <w:ind w:firstLine="480" w:firstLineChars="200"/>
              <w:contextualSpacing/>
            </w:pPr>
            <w:r>
              <w:t>8）对于工地内裸露地面，应采取下列防尘措施之一：a）覆盖防尘布或防尘网；b)铺设礁渣、细石或其他功能相当的材料；c）定时定量洒水。</w:t>
            </w:r>
          </w:p>
          <w:p>
            <w:pPr>
              <w:overflowPunct w:val="0"/>
              <w:spacing w:line="360" w:lineRule="auto"/>
              <w:ind w:firstLine="480" w:firstLineChars="200"/>
              <w:contextualSpacing/>
            </w:pPr>
            <w:r>
              <w:t>9）工地应设专职人员负责扬尘控制措施的实施和监督。由专人负责逸散性材料、垃圾、渣土、裸地等密闭、覆盖、洒水作业以及车辆清洗作业等，并记录扬尘控制措施的实施情况。</w:t>
            </w:r>
          </w:p>
          <w:p>
            <w:pPr>
              <w:overflowPunct w:val="0"/>
              <w:spacing w:line="360" w:lineRule="auto"/>
              <w:ind w:firstLine="480" w:firstLineChars="200"/>
              <w:contextualSpacing/>
            </w:pPr>
            <w:r>
              <w:t>10）做好施工现场的清洁工作。</w:t>
            </w:r>
          </w:p>
          <w:p>
            <w:pPr>
              <w:overflowPunct w:val="0"/>
              <w:spacing w:line="360" w:lineRule="auto"/>
              <w:ind w:firstLine="480" w:firstLineChars="200"/>
              <w:contextualSpacing/>
            </w:pPr>
            <w:r>
              <w:t>在采取相应措施并严格按照本评价要求进行施工的前提下，本项目施工扬尘对周围大气环境影响不大，且随施工结束而消除。</w:t>
            </w:r>
          </w:p>
          <w:p>
            <w:pPr>
              <w:autoSpaceDE w:val="0"/>
              <w:spacing w:line="360" w:lineRule="auto"/>
              <w:ind w:firstLine="480"/>
            </w:pPr>
            <w:r>
              <w:rPr>
                <w:lang w:bidi="ar"/>
              </w:rPr>
              <w:t>本项目施工期应严格按上述措施加以防治，减缓扬尘对周边环境的影响。距离本项目最近的居民区为东侧780m的沙普艾热克村一组，通过上述措施减缓、中间的防护林带，项目的施工扬尘对该居民区影响可忽略；由于施工造成的不利影响是局部的、短期的，项目建设完成之后影响就会消失。因此在采取以上防治措施后，施工扬尘对周围环境空气的影响是可以接受的。</w:t>
            </w:r>
          </w:p>
          <w:p>
            <w:pPr>
              <w:spacing w:line="360" w:lineRule="auto"/>
              <w:ind w:firstLine="361" w:firstLineChars="150"/>
              <w:contextualSpacing/>
              <w:rPr>
                <w:b/>
                <w:bCs/>
              </w:rPr>
            </w:pPr>
            <w:r>
              <w:rPr>
                <w:b/>
                <w:bCs/>
              </w:rPr>
              <w:t>（2）车辆尾气影响</w:t>
            </w:r>
          </w:p>
          <w:p>
            <w:pPr>
              <w:spacing w:line="360" w:lineRule="auto"/>
              <w:ind w:firstLine="480" w:firstLineChars="200"/>
              <w:contextualSpacing/>
            </w:pPr>
            <w:r>
              <w:t>施工机械废气包括：各种燃油机械的废气排放，运输车辆产生的尾气等。燃油机械和汽车尾气中的污染物主要有CO、NO</w:t>
            </w:r>
            <w:r>
              <w:rPr>
                <w:vertAlign w:val="subscript"/>
              </w:rPr>
              <w:t>x</w:t>
            </w:r>
            <w:r>
              <w:t>及碳氢化合物（HC）等。施工机械所排放的废气在空间上和时间上具有较集中的特点，在局部的范围内污染物的浓度较高。在施工现场，会有如挖掘机、载重卡车等施工机械大量进入。据交通部公路研究所的测算，以载重卡车为例，测得每辆卡车的尾气中含CO：37.23g/km·辆，碳氢化合物（HC）：15.98g/km·辆，NO</w:t>
            </w:r>
            <w:r>
              <w:rPr>
                <w:vertAlign w:val="subscript"/>
              </w:rPr>
              <w:t>X</w:t>
            </w:r>
            <w:r>
              <w:t>：16.83g/km·辆。这些施工机械所排放的废气以无组织面源的形式排放，会对施工区域的大气环境造成不利影响。据有关单位在市政施工现场的测试结果表明：氮氧化物（NO</w:t>
            </w:r>
            <w:r>
              <w:rPr>
                <w:vertAlign w:val="subscript"/>
              </w:rPr>
              <w:t>x</w:t>
            </w:r>
            <w:r>
              <w:t>）的浓度可达150μg/m</w:t>
            </w:r>
            <w:r>
              <w:rPr>
                <w:vertAlign w:val="superscript"/>
              </w:rPr>
              <w:t>3</w:t>
            </w:r>
            <w:r>
              <w:t>，其影响范围在下风向200m以内的范围。但施工结束后，废气影响也随之消失，不会造成长期的影响。</w:t>
            </w:r>
          </w:p>
          <w:p>
            <w:pPr>
              <w:spacing w:line="360" w:lineRule="auto"/>
              <w:ind w:firstLine="482" w:firstLineChars="200"/>
              <w:rPr>
                <w:b/>
                <w:bCs/>
              </w:rPr>
            </w:pPr>
            <w:r>
              <w:rPr>
                <w:b/>
                <w:bCs/>
              </w:rPr>
              <w:t>（3）焊接废气</w:t>
            </w:r>
          </w:p>
          <w:p>
            <w:pPr>
              <w:spacing w:line="360" w:lineRule="auto"/>
              <w:ind w:firstLine="480" w:firstLineChars="200"/>
            </w:pPr>
            <w:r>
              <w:t>本项目管道组焊过程会产生微量的热熔废气，主要污染物为碳氢化合物、一氧化碳、氮氧化物、苯并笓等以及二次污染物--光化学烟雾等。其中碳氢化合物、一氧化碳和氮氧化物三种占到总大气污染物的50%以上，主要对作业点周围局部范围产生一定影响。但项目热熔废气产生较少，无组织排放，对当地环境空气质量影响较小。</w:t>
            </w:r>
          </w:p>
          <w:p>
            <w:pPr>
              <w:topLinePunct/>
              <w:adjustRightInd w:val="0"/>
              <w:snapToGrid w:val="0"/>
              <w:spacing w:line="360" w:lineRule="auto"/>
              <w:rPr>
                <w:b/>
                <w:bCs/>
              </w:rPr>
            </w:pPr>
            <w:r>
              <w:rPr>
                <w:b/>
                <w:bCs/>
              </w:rPr>
              <w:t>1.2施工期水环境保护措施</w:t>
            </w:r>
          </w:p>
          <w:p>
            <w:pPr>
              <w:adjustRightInd w:val="0"/>
              <w:snapToGrid w:val="0"/>
              <w:spacing w:line="360" w:lineRule="auto"/>
              <w:ind w:firstLine="480" w:firstLineChars="200"/>
            </w:pPr>
            <w:r>
              <w:t>为防止施工废水对周围环境产生不利影响，本环评提出以下防治措施：</w:t>
            </w:r>
          </w:p>
          <w:p>
            <w:pPr>
              <w:spacing w:line="360" w:lineRule="auto"/>
              <w:ind w:firstLine="480" w:firstLineChars="200"/>
            </w:pPr>
            <w:r>
              <w:t>项目不设施工营地，施工期施工机械和运输车辆送至社会定点维修服务站进行维修和保养，无施工废水产生和排放。施工期废水主要是管道试压废水及施工工人的生活废水。</w:t>
            </w:r>
          </w:p>
          <w:p>
            <w:pPr>
              <w:spacing w:line="360" w:lineRule="auto"/>
              <w:ind w:firstLine="480" w:firstLineChars="200"/>
            </w:pPr>
            <w:r>
              <w:t>管道铺设完毕后采用清洁水为介质进行试压，本工程的管道试压分段进行，管道试压排放废水中主要污染物为悬浮物，其中钢管试压废水含有少量铁屑。因所用管道均为新管，废水中SS浓度低于100mg/L。试压废水经收集沉淀后清运至旁边航空港货运区的污水设施处排放。沉淀物交由环卫部门处理。</w:t>
            </w:r>
          </w:p>
          <w:p>
            <w:pPr>
              <w:spacing w:line="360" w:lineRule="auto"/>
              <w:ind w:firstLine="480" w:firstLineChars="200"/>
            </w:pPr>
            <w:r>
              <w:t>项目的施工工人的生活废水依托居住区的处理设施以及项目区附近的综合货运区的处理设施，可以有效排放。</w:t>
            </w:r>
          </w:p>
          <w:p>
            <w:pPr>
              <w:adjustRightInd w:val="0"/>
              <w:snapToGrid w:val="0"/>
              <w:spacing w:line="360" w:lineRule="auto"/>
              <w:ind w:firstLine="480" w:firstLineChars="200"/>
            </w:pPr>
            <w:r>
              <w:t>项目区东侧80m处为麦兰孜渠，由于本工程管道敷设属于线性工程，施工现场较为分散，单个施工场地施工人员相对较少，产排污水量也较少。本工程施工现场不设施工营地，租用附近民房作为施工人员的休息场所，项目的试压废水、生活污水均利用现有的污水处理和排放设施处理排放，项目产污不与东侧的麦兰孜渠产生联系，同时建议施工单位加强对施工工人的管理，划定扰动、活动区域。通过以上措施，项目污水得到有效处理，对该渠不会产生影响。</w:t>
            </w:r>
          </w:p>
          <w:p>
            <w:pPr>
              <w:topLinePunct/>
              <w:adjustRightInd w:val="0"/>
              <w:snapToGrid w:val="0"/>
              <w:spacing w:line="360" w:lineRule="auto"/>
              <w:rPr>
                <w:b/>
                <w:bCs/>
              </w:rPr>
            </w:pPr>
            <w:r>
              <w:rPr>
                <w:b/>
                <w:bCs/>
              </w:rPr>
              <w:t>1.3施工期声环境保护措施</w:t>
            </w:r>
          </w:p>
          <w:p>
            <w:pPr>
              <w:pStyle w:val="19"/>
              <w:widowControl w:val="0"/>
              <w:overflowPunct w:val="0"/>
              <w:topLinePunct/>
              <w:adjustRightInd w:val="0"/>
              <w:snapToGrid w:val="0"/>
              <w:spacing w:before="0" w:beforeAutospacing="0" w:after="0" w:afterAutospacing="0" w:line="360" w:lineRule="auto"/>
              <w:ind w:firstLine="480" w:firstLineChars="200"/>
              <w:jc w:val="both"/>
              <w:textAlignment w:val="baseline"/>
              <w:rPr>
                <w:rFonts w:ascii="Times New Roman" w:hAnsi="Times New Roman"/>
              </w:rPr>
            </w:pPr>
            <w:r>
              <w:rPr>
                <w:rFonts w:ascii="Times New Roman" w:hAnsi="Times New Roman"/>
              </w:rPr>
              <w:t>本工程施工期产生的噪声会对周边环境产生不利影响，为消除和克服不利影响，将对项目区内外近距离的影响减少到最低，本工程应采取减少产生和个人防护等多种措施来共同治理噪声，从源头上减弱噪声。具体治理措施如下。</w:t>
            </w:r>
          </w:p>
          <w:p>
            <w:pPr>
              <w:spacing w:line="360" w:lineRule="auto"/>
              <w:ind w:firstLine="480" w:firstLineChars="200"/>
              <w:rPr>
                <w:kern w:val="0"/>
              </w:rPr>
            </w:pPr>
            <w:r>
              <w:rPr>
                <w:kern w:val="0"/>
              </w:rPr>
              <w:t>（1</w:t>
            </w:r>
            <w:r>
              <w:t>）</w:t>
            </w:r>
            <w:r>
              <w:rPr>
                <w:kern w:val="0"/>
              </w:rPr>
              <w:t>合理安排好施工时间，尽量缩短施工期。本评价要求建设方在午休和夜间时段内禁止施工，如特殊工序需进行夜间施工，应按相关规定到环保管理部门办理夜间施工许可证，并通告受影响人群。</w:t>
            </w:r>
          </w:p>
          <w:p>
            <w:pPr>
              <w:autoSpaceDE w:val="0"/>
              <w:autoSpaceDN w:val="0"/>
              <w:spacing w:line="360" w:lineRule="auto"/>
              <w:ind w:firstLine="480" w:firstLineChars="200"/>
              <w:textAlignment w:val="baseline"/>
              <w:rPr>
                <w:kern w:val="0"/>
                <w:lang w:val="zh-CN"/>
              </w:rPr>
            </w:pPr>
            <w:r>
              <w:rPr>
                <w:kern w:val="0"/>
              </w:rPr>
              <w:t>（2</w:t>
            </w:r>
            <w:r>
              <w:t>）</w:t>
            </w:r>
            <w:r>
              <w:rPr>
                <w:kern w:val="0"/>
              </w:rPr>
              <w:t>施工期的噪声主要来自施工机械和运输车辆。施工设备选型时，在满足施工需要的前提下，尽可能选取噪声低、振动小、能耗小的先进设备，并避免长时间使用高噪声设备，加强</w:t>
            </w:r>
            <w:r>
              <w:rPr>
                <w:kern w:val="0"/>
                <w:lang w:val="zh-CN"/>
              </w:rPr>
              <w:t>对现场工作人员进行培训，严格按操作规范使用各类机械设备，</w:t>
            </w:r>
            <w:r>
              <w:rPr>
                <w:kern w:val="0"/>
              </w:rPr>
              <w:t>杜绝野蛮装卸，减少撞击声对外界影响</w:t>
            </w:r>
            <w:r>
              <w:rPr>
                <w:kern w:val="0"/>
                <w:lang w:val="zh-CN"/>
              </w:rPr>
              <w:t>。</w:t>
            </w:r>
          </w:p>
          <w:p>
            <w:pPr>
              <w:autoSpaceDE w:val="0"/>
              <w:autoSpaceDN w:val="0"/>
              <w:spacing w:line="360" w:lineRule="auto"/>
              <w:ind w:firstLine="480" w:firstLineChars="200"/>
              <w:textAlignment w:val="baseline"/>
              <w:rPr>
                <w:kern w:val="0"/>
                <w:lang w:val="zh-CN"/>
              </w:rPr>
            </w:pPr>
            <w:r>
              <w:rPr>
                <w:kern w:val="0"/>
              </w:rPr>
              <w:t>（3</w:t>
            </w:r>
            <w:r>
              <w:t>）</w:t>
            </w:r>
            <w:r>
              <w:rPr>
                <w:kern w:val="0"/>
              </w:rPr>
              <w:t>加强施工设备的维护保养，发生故障应及时维修，保持润滑、紧固各部件，减少运行振动噪声。加强施工管理、文明施工，杜绝施工机械在运行过程中因维护不当而产生的其他噪声。</w:t>
            </w:r>
          </w:p>
          <w:p>
            <w:pPr>
              <w:autoSpaceDE w:val="0"/>
              <w:autoSpaceDN w:val="0"/>
              <w:spacing w:line="360" w:lineRule="auto"/>
              <w:ind w:firstLine="480" w:firstLineChars="200"/>
              <w:textAlignment w:val="baseline"/>
              <w:rPr>
                <w:kern w:val="0"/>
              </w:rPr>
            </w:pPr>
            <w:r>
              <w:rPr>
                <w:kern w:val="0"/>
              </w:rPr>
              <w:t>（4</w:t>
            </w:r>
            <w:r>
              <w:t>）</w:t>
            </w:r>
            <w:r>
              <w:rPr>
                <w:kern w:val="0"/>
              </w:rPr>
              <w:t>为保护施工人员的健康，要合理安排工作人员，轮流操作高强度噪声的施工机械，减少接触高噪声施工机械的时间，或穿插安排操作高噪声和低噪声施工机械的工作。加强对施工人员的个人防护，对高噪声机械设备附近工作的施工人员，可采取配备耳塞、耳机、防声头盔等防噪用具。</w:t>
            </w:r>
          </w:p>
          <w:p>
            <w:pPr>
              <w:spacing w:line="360" w:lineRule="auto"/>
              <w:ind w:firstLine="480" w:firstLineChars="200"/>
              <w:rPr>
                <w:kern w:val="0"/>
              </w:rPr>
            </w:pPr>
            <w:r>
              <w:rPr>
                <w:kern w:val="0"/>
              </w:rPr>
              <w:t>（5</w:t>
            </w:r>
            <w:r>
              <w:t>）</w:t>
            </w:r>
            <w:r>
              <w:rPr>
                <w:kern w:val="0"/>
              </w:rPr>
              <w:t>加强施工期间道路交通的管理，保持道路畅通也是减缓施工期噪声影响的重要手段。</w:t>
            </w:r>
          </w:p>
          <w:p>
            <w:pPr>
              <w:autoSpaceDE w:val="0"/>
              <w:autoSpaceDN w:val="0"/>
              <w:spacing w:line="360" w:lineRule="auto"/>
              <w:ind w:firstLine="480" w:firstLineChars="200"/>
              <w:textAlignment w:val="baseline"/>
              <w:rPr>
                <w:kern w:val="0"/>
              </w:rPr>
            </w:pPr>
            <w:r>
              <w:rPr>
                <w:kern w:val="0"/>
              </w:rPr>
              <w:t>（6</w:t>
            </w:r>
            <w:r>
              <w:t>）</w:t>
            </w:r>
            <w:r>
              <w:rPr>
                <w:kern w:val="0"/>
              </w:rPr>
              <w:t>提高施工人员特别是现场施工负责人员的环保意识，施工部门负责人应学习国家相关环保法律、法规，增强环保意识，明确认识噪声对人体的危害。</w:t>
            </w:r>
          </w:p>
          <w:p>
            <w:pPr>
              <w:spacing w:line="360" w:lineRule="auto"/>
              <w:ind w:firstLine="480" w:firstLineChars="200"/>
              <w:rPr>
                <w:kern w:val="0"/>
              </w:rPr>
            </w:pPr>
            <w:r>
              <w:rPr>
                <w:kern w:val="0"/>
              </w:rPr>
              <w:t>（7</w:t>
            </w:r>
            <w:r>
              <w:t>）</w:t>
            </w:r>
            <w:r>
              <w:rPr>
                <w:kern w:val="0"/>
              </w:rPr>
              <w:t>施工过程中应与当地居民及时沟通，避免引起不必要的纠纷。</w:t>
            </w:r>
          </w:p>
          <w:p>
            <w:pPr>
              <w:pStyle w:val="19"/>
              <w:widowControl w:val="0"/>
              <w:topLinePunct/>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本项目采取分段施工方式，施工</w:t>
            </w:r>
            <w:r>
              <w:rPr>
                <w:rFonts w:ascii="Times New Roman" w:hAnsi="Times New Roman"/>
                <w:snapToGrid w:val="0"/>
                <w:szCs w:val="24"/>
              </w:rPr>
              <w:t>周期较短，且机械设备噪声为非连续性排放，在</w:t>
            </w:r>
            <w:r>
              <w:rPr>
                <w:rFonts w:ascii="Times New Roman" w:hAnsi="Times New Roman"/>
              </w:rPr>
              <w:t>采取以上控制措施后，可将施工期噪声影响降到最低，项目不进行夜间施工，且通过距离衰减后，项目施工噪声对项目区东侧的居民区影响有限，本工程施工时段有限，采取以上控制措施后，可将施工期噪声影响降至最低程度。并随施工期结束而消除。</w:t>
            </w:r>
          </w:p>
          <w:p>
            <w:pPr>
              <w:topLinePunct/>
              <w:adjustRightInd w:val="0"/>
              <w:snapToGrid w:val="0"/>
              <w:spacing w:line="360" w:lineRule="auto"/>
              <w:rPr>
                <w:b/>
                <w:bCs/>
              </w:rPr>
            </w:pPr>
            <w:r>
              <w:rPr>
                <w:b/>
                <w:bCs/>
              </w:rPr>
              <w:t>1.4施工期固体废弃物环境保护措施</w:t>
            </w:r>
          </w:p>
          <w:p>
            <w:pPr>
              <w:overflowPunct w:val="0"/>
              <w:topLinePunct/>
              <w:spacing w:line="360" w:lineRule="auto"/>
              <w:ind w:firstLine="480" w:firstLineChars="200"/>
            </w:pPr>
            <w:r>
              <w:t>施工期间固体废弃物主要为建筑垃圾和施工人员的生活垃圾。为减少固体废弃物对环境的影响，建议采取如下措施。</w:t>
            </w:r>
          </w:p>
          <w:p>
            <w:pPr>
              <w:topLinePunct/>
              <w:spacing w:line="360" w:lineRule="auto"/>
              <w:ind w:firstLine="480" w:firstLineChars="200"/>
              <w:contextualSpacing/>
              <w:rPr>
                <w:snapToGrid w:val="0"/>
              </w:rPr>
            </w:pPr>
            <w:r>
              <w:t>为减少本工程固废对环境的影响，建议采取如下措施：</w:t>
            </w:r>
          </w:p>
          <w:p>
            <w:pPr>
              <w:spacing w:line="360" w:lineRule="auto"/>
              <w:ind w:firstLine="480" w:firstLineChars="200"/>
              <w:contextualSpacing/>
            </w:pPr>
            <w:r>
              <w:t>（1）废弃建材：施工期间产生的废弃建材应分类收集，集中处理，回收利用，以实现固体废料的“减量化、资源化、无害化”。</w:t>
            </w:r>
          </w:p>
          <w:p>
            <w:pPr>
              <w:spacing w:line="360" w:lineRule="auto"/>
              <w:ind w:firstLine="480" w:firstLineChars="200"/>
              <w:contextualSpacing/>
            </w:pPr>
            <w:r>
              <w:t>（2）生活垃圾：施工人员的生活垃圾应集中收集，不允许随地乱抛，影响环境卫生，或混入建筑垃圾。生活垃圾应纳入城市生活垃圾收运处理系统。</w:t>
            </w:r>
          </w:p>
          <w:p>
            <w:pPr>
              <w:spacing w:line="360" w:lineRule="auto"/>
              <w:ind w:firstLine="480" w:firstLineChars="200"/>
              <w:contextualSpacing/>
            </w:pPr>
            <w:r>
              <w:t>（3）车辆运输散体物料和废弃物时，必须密闭、包扎、覆盖，不得沿途漏撒；运载土方的车辆必须在规定的时间内，按指定路段行驶。</w:t>
            </w:r>
          </w:p>
          <w:p>
            <w:pPr>
              <w:spacing w:line="360" w:lineRule="auto"/>
              <w:ind w:firstLine="480" w:firstLineChars="200"/>
              <w:contextualSpacing/>
            </w:pPr>
            <w:r>
              <w:t>（4）施工期应尽量集中并避开雨期，要边弃土边压实。</w:t>
            </w:r>
          </w:p>
          <w:p>
            <w:pPr>
              <w:spacing w:line="360" w:lineRule="auto"/>
              <w:ind w:firstLine="480" w:firstLineChars="200"/>
              <w:contextualSpacing/>
            </w:pPr>
            <w:r>
              <w:t>（5）施工单位应该在施工前5日向相关管理部门申报建筑垃圾、工程渣土处置计划，如实填报建筑垃圾和渣土的种类、数量、运输路线及处置场地等事项。</w:t>
            </w:r>
          </w:p>
          <w:p>
            <w:pPr>
              <w:spacing w:line="360" w:lineRule="auto"/>
              <w:ind w:firstLine="480" w:firstLineChars="200"/>
              <w:contextualSpacing/>
            </w:pPr>
            <w:r>
              <w:rPr>
                <w:szCs w:val="22"/>
              </w:rPr>
              <w:t>（6）施工部门应当持渣土管理部门核发的处置证明，向运输单位办理建筑垃圾、工程渣土托运手续。运输车辆在运输工程弃土、建筑垃圾时应随车携带处置证明，接收渣土管理部门的检查，运输路线应按渣土管理部门会同公安、交通管理部门规定的线路运输。</w:t>
            </w:r>
          </w:p>
          <w:p>
            <w:pPr>
              <w:overflowPunct w:val="0"/>
              <w:topLinePunct/>
              <w:spacing w:line="360" w:lineRule="auto"/>
              <w:ind w:firstLine="480" w:firstLineChars="200"/>
            </w:pPr>
            <w:r>
              <w:t>（7）在工程完工后，应当立即将工地的剩余建筑垃圾、工程渣土</w:t>
            </w:r>
            <w:r>
              <w:rPr>
                <w:rFonts w:hint="eastAsia"/>
                <w:lang w:eastAsia="zh-CN"/>
              </w:rPr>
              <w:t>处理</w:t>
            </w:r>
            <w:r>
              <w:t>干净，不得占用道路来堆放建筑垃圾和工程渣土。</w:t>
            </w:r>
          </w:p>
          <w:p>
            <w:pPr>
              <w:topLinePunct/>
              <w:adjustRightInd w:val="0"/>
              <w:snapToGrid w:val="0"/>
              <w:spacing w:line="360" w:lineRule="auto"/>
              <w:rPr>
                <w:b/>
                <w:bCs/>
              </w:rPr>
            </w:pPr>
            <w:r>
              <w:rPr>
                <w:b/>
                <w:bCs/>
              </w:rPr>
              <w:t>1.5施工期生态保护措施</w:t>
            </w:r>
          </w:p>
          <w:p>
            <w:pPr>
              <w:overflowPunct w:val="0"/>
              <w:topLinePunct/>
              <w:adjustRightInd w:val="0"/>
              <w:snapToGrid w:val="0"/>
              <w:spacing w:line="360" w:lineRule="auto"/>
              <w:ind w:firstLine="480" w:firstLineChars="200"/>
            </w:pPr>
            <w:r>
              <w:t>（1）做好本工程的施工组织规划工作，明确工程可能扰动和破坏的范围，要做到少占地。</w:t>
            </w:r>
          </w:p>
          <w:p>
            <w:pPr>
              <w:overflowPunct w:val="0"/>
              <w:topLinePunct/>
              <w:adjustRightInd w:val="0"/>
              <w:snapToGrid w:val="0"/>
              <w:spacing w:line="360" w:lineRule="auto"/>
              <w:ind w:firstLine="480" w:firstLineChars="200"/>
            </w:pPr>
            <w:r>
              <w:t>（2）高度重视原有地表对维护本区生态稳定的重要性，加强对施工队伍的宣传、教育和管理。做好施工组织规划工作，严禁将建设施工材料乱堆乱放，划定适宜的堆料场等临时性场所，以防止植被破坏的范围增大。</w:t>
            </w:r>
          </w:p>
          <w:p>
            <w:pPr>
              <w:overflowPunct w:val="0"/>
              <w:topLinePunct/>
              <w:adjustRightInd w:val="0"/>
              <w:snapToGrid w:val="0"/>
              <w:spacing w:line="360" w:lineRule="auto"/>
              <w:ind w:firstLine="480" w:firstLineChars="200"/>
            </w:pPr>
            <w:r>
              <w:t>（3）加强宣传教育，严禁施工人员折损植物，碾踩植被和土壤，</w:t>
            </w:r>
            <w:r>
              <w:rPr>
                <w:rFonts w:hint="eastAsia"/>
                <w:lang w:eastAsia="zh-CN"/>
              </w:rPr>
              <w:t>尽量避免</w:t>
            </w:r>
            <w:r>
              <w:t>人为活动对植被和土壤造成的不利影响；不得捕杀野生动物或随意捣毁动物的巢穴。</w:t>
            </w:r>
          </w:p>
          <w:p>
            <w:pPr>
              <w:overflowPunct w:val="0"/>
              <w:topLinePunct/>
              <w:adjustRightInd w:val="0"/>
              <w:snapToGrid w:val="0"/>
              <w:spacing w:line="360" w:lineRule="auto"/>
              <w:ind w:firstLine="480" w:firstLineChars="200"/>
            </w:pPr>
            <w:r>
              <w:t>（4）加强对工作人员进行环境保护知识教育，提高工作人员的环境保护意识，以减少人为因素对植被的破坏。</w:t>
            </w:r>
          </w:p>
          <w:p>
            <w:pPr>
              <w:overflowPunct w:val="0"/>
              <w:topLinePunct/>
              <w:adjustRightInd w:val="0"/>
              <w:snapToGrid w:val="0"/>
              <w:spacing w:line="360" w:lineRule="auto"/>
              <w:ind w:firstLine="480" w:firstLineChars="200"/>
            </w:pPr>
            <w:r>
              <w:t>（5）施工机械和运输工具应在规划的道路上行驶，严禁随意行驶，碾压附近耕地，严禁破坏工程区内的植被，将植被损失降至最低。</w:t>
            </w:r>
          </w:p>
          <w:p>
            <w:pPr>
              <w:overflowPunct w:val="0"/>
              <w:topLinePunct/>
              <w:adjustRightInd w:val="0"/>
              <w:snapToGrid w:val="0"/>
              <w:spacing w:line="360" w:lineRule="auto"/>
              <w:ind w:firstLine="480" w:firstLineChars="200"/>
            </w:pPr>
            <w:r>
              <w:t>（6）工程施工活动严格控制在划定的范围内，为防止对天然植被及土壤的破坏，对地面建（构）筑物的布置应以“尽量减少占地、避免对植被的破坏”为原则，在总平面布置上充分利用自然地形，本着有利于雨水排除和减少土方量的原则，尽量减少土石方量和占地面积，提高场地利用系数。</w:t>
            </w:r>
          </w:p>
          <w:p>
            <w:pPr>
              <w:overflowPunct w:val="0"/>
              <w:topLinePunct/>
              <w:adjustRightInd w:val="0"/>
              <w:snapToGrid w:val="0"/>
              <w:spacing w:line="360" w:lineRule="auto"/>
              <w:ind w:firstLine="480" w:firstLineChars="200"/>
            </w:pPr>
            <w:r>
              <w:t>（7）完善场内道路，合理规划线路，防止汽车乱轧乱碾。</w:t>
            </w:r>
          </w:p>
          <w:p>
            <w:pPr>
              <w:overflowPunct w:val="0"/>
              <w:topLinePunct/>
              <w:adjustRightInd w:val="0"/>
              <w:snapToGrid w:val="0"/>
              <w:spacing w:line="360" w:lineRule="auto"/>
              <w:ind w:firstLine="480" w:firstLineChars="200"/>
            </w:pPr>
            <w:r>
              <w:t>（8）在施工过程中，要严格控制扰动面积，特别是加强施工过程的管理。</w:t>
            </w:r>
          </w:p>
          <w:p>
            <w:pPr>
              <w:overflowPunct w:val="0"/>
              <w:topLinePunct/>
              <w:adjustRightInd w:val="0"/>
              <w:snapToGrid w:val="0"/>
              <w:spacing w:line="360" w:lineRule="auto"/>
              <w:ind w:firstLine="480" w:firstLineChars="200"/>
            </w:pPr>
            <w:r>
              <w:t>（9）尽量采取清洁和高效的生产技术及减少生态环境破坏的施工方式，并且优化施工布局，精心组织管理。</w:t>
            </w:r>
          </w:p>
          <w:p>
            <w:pPr>
              <w:overflowPunct w:val="0"/>
              <w:topLinePunct/>
              <w:adjustRightInd w:val="0"/>
              <w:snapToGrid w:val="0"/>
              <w:spacing w:line="360" w:lineRule="auto"/>
              <w:ind w:firstLine="480" w:firstLineChars="200"/>
            </w:pPr>
            <w:r>
              <w:t>（10）尽量减少对区域内植被的破坏，对在植被盖度相对较高的区域进行的相关作业时，应预先剥离表层植毡层和将灌丛集中移植到条件较好的地方，以备临时用地进行场地恢复时重新覆盖和移植在表面，尽快恢复其生态原貌。</w:t>
            </w:r>
          </w:p>
          <w:p>
            <w:pPr>
              <w:overflowPunct w:val="0"/>
              <w:topLinePunct/>
              <w:adjustRightInd w:val="0"/>
              <w:snapToGrid w:val="0"/>
              <w:spacing w:line="360" w:lineRule="auto"/>
              <w:ind w:firstLine="480" w:firstLineChars="200"/>
            </w:pPr>
            <w:r>
              <w:t>（11）本环评要求施工结束后恢复施工迹地，对施工迹地和弃方进行合理平整、利用、清运，对利用料堆放场占地区进行清理、土地平整后撒播草籽，种植树木，草种树种选择当地适生耐旱品种，撒播种植时间可在春季。</w:t>
            </w:r>
          </w:p>
          <w:p>
            <w:pPr>
              <w:overflowPunct w:val="0"/>
              <w:topLinePunct/>
              <w:adjustRightInd w:val="0"/>
              <w:snapToGrid w:val="0"/>
              <w:spacing w:line="360" w:lineRule="auto"/>
              <w:ind w:firstLine="480" w:firstLineChars="200"/>
            </w:pPr>
            <w:r>
              <w:t>（12）项目建设造成地表植被破坏的，应充分考虑自然生态条件，因地制宜，制定生态修复方案，优先使用原生表土和选用乡土物种，防止外来生物入侵，构建与周边生态环境相协调的植物群落，最终形成可自我维持的生态系统。生态修复的目标主要包括：恢复植被和土壤，保证一定的植被覆盖度和土壤肥力；维持物种种类和组成，保护生物多样性；实现生物群落的恢复，提高生态系统的生产力和自我维持力；维持生境的连通性等。</w:t>
            </w:r>
          </w:p>
          <w:p>
            <w:pPr>
              <w:overflowPunct w:val="0"/>
              <w:topLinePunct/>
              <w:adjustRightInd w:val="0"/>
              <w:snapToGrid w:val="0"/>
              <w:spacing w:line="360" w:lineRule="auto"/>
              <w:ind w:firstLine="480" w:firstLineChars="200"/>
            </w:pPr>
            <w:r>
              <w:t>（13）施工单位应该加强管理，项目的试管废水，严格按照环评要求的处理和排放，不得随意乱排，避免对区域地下水和土壤造成影响。</w:t>
            </w:r>
          </w:p>
          <w:p>
            <w:pPr>
              <w:overflowPunct w:val="0"/>
              <w:topLinePunct/>
              <w:adjustRightInd w:val="0"/>
              <w:snapToGrid w:val="0"/>
              <w:spacing w:line="360" w:lineRule="auto"/>
              <w:ind w:firstLine="480" w:firstLineChars="200"/>
            </w:pPr>
            <w:r>
              <w:t>（14）项目施工结束后，施工单位应尽快拆除临时设施，对扰动区域的破坏的</w:t>
            </w:r>
            <w:r>
              <w:rPr>
                <w:kern w:val="0"/>
              </w:rPr>
              <w:t>地表植被进行恢复，以恢复土壤的原有能力。</w:t>
            </w:r>
          </w:p>
          <w:p>
            <w:pPr>
              <w:topLinePunct/>
              <w:adjustRightInd w:val="0"/>
              <w:snapToGrid w:val="0"/>
              <w:spacing w:line="360" w:lineRule="auto"/>
              <w:rPr>
                <w:b/>
                <w:bCs/>
              </w:rPr>
            </w:pPr>
            <w:r>
              <w:rPr>
                <w:b/>
                <w:bCs/>
              </w:rPr>
              <w:t>1.6施工期</w:t>
            </w:r>
            <w:r>
              <w:rPr>
                <w:rFonts w:hint="eastAsia"/>
                <w:b/>
                <w:bCs/>
                <w:color w:val="FF0000"/>
              </w:rPr>
              <w:t>水土流失</w:t>
            </w:r>
            <w:r>
              <w:rPr>
                <w:b/>
                <w:bCs/>
              </w:rPr>
              <w:t>措施</w:t>
            </w:r>
          </w:p>
          <w:p>
            <w:pPr>
              <w:widowControl/>
              <w:adjustRightInd w:val="0"/>
              <w:snapToGrid w:val="0"/>
              <w:spacing w:line="360" w:lineRule="auto"/>
              <w:ind w:firstLine="480" w:firstLineChars="200"/>
            </w:pPr>
            <w:r>
              <w:t>（1）植被覆盖度高的区域，施工结束后，及时采取撒播草籽等措施，恢复原地貌；</w:t>
            </w:r>
          </w:p>
          <w:p>
            <w:pPr>
              <w:widowControl/>
              <w:adjustRightInd w:val="0"/>
              <w:snapToGrid w:val="0"/>
              <w:spacing w:line="360" w:lineRule="auto"/>
              <w:ind w:firstLine="480" w:firstLineChars="200"/>
            </w:pPr>
            <w:r>
              <w:t>（2）施工过程中，尽可能在植被覆盖度高的地段采取人工开挖，局部降低作业带宽度，减少对植被的破坏；</w:t>
            </w:r>
          </w:p>
          <w:p>
            <w:pPr>
              <w:widowControl/>
              <w:adjustRightInd w:val="0"/>
              <w:snapToGrid w:val="0"/>
              <w:spacing w:line="360" w:lineRule="auto"/>
              <w:ind w:firstLine="480" w:firstLineChars="200"/>
            </w:pPr>
            <w:r>
              <w:t>（3）植被覆盖度高的区域，采取分层开挖、分层回填措施，避免破坏区域土壤肥力；</w:t>
            </w:r>
          </w:p>
          <w:p>
            <w:pPr>
              <w:widowControl/>
              <w:adjustRightInd w:val="0"/>
              <w:snapToGrid w:val="0"/>
              <w:spacing w:line="360" w:lineRule="auto"/>
              <w:ind w:firstLine="480" w:firstLineChars="200"/>
            </w:pPr>
            <w:r>
              <w:t>（4）针对</w:t>
            </w:r>
            <w:r>
              <w:rPr>
                <w:rFonts w:hint="eastAsia"/>
                <w:lang w:eastAsia="zh-CN"/>
              </w:rPr>
              <w:t>周边</w:t>
            </w:r>
            <w:r>
              <w:t>基本无植被覆盖区域，采取防沙治沙措施，对区域进行人工植被抚育等，防止土地沙漠化。</w:t>
            </w:r>
          </w:p>
          <w:p>
            <w:pPr>
              <w:widowControl/>
              <w:adjustRightInd w:val="0"/>
              <w:snapToGrid w:val="0"/>
              <w:spacing w:line="360" w:lineRule="auto"/>
              <w:ind w:firstLine="480" w:firstLineChars="200"/>
            </w:pPr>
            <w:r>
              <w:t>（5）针对施工机械及运输车辆，提出如下措施：施工期间应划定施工活动范围，严格控制和管理运输车辆及重型机械的运行线路和范围，不得离开运输道路及随意行驶，由专人负责，以防破坏土壤和植被，加剧土地荒漠化。</w:t>
            </w:r>
          </w:p>
          <w:p>
            <w:pPr>
              <w:widowControl/>
              <w:adjustRightInd w:val="0"/>
              <w:snapToGrid w:val="0"/>
              <w:spacing w:line="360" w:lineRule="auto"/>
              <w:ind w:firstLine="480" w:firstLineChars="200"/>
            </w:pPr>
            <w:r>
              <w:t>（6）工程措施、植被措施及其他措施，要求在项目建设完成投入运行之前完成，严禁防沙治沙措施未完成即投入运行。</w:t>
            </w:r>
          </w:p>
          <w:p>
            <w:pPr>
              <w:topLinePunct/>
              <w:adjustRightInd w:val="0"/>
              <w:snapToGrid w:val="0"/>
              <w:spacing w:line="360" w:lineRule="auto"/>
              <w:rPr>
                <w:b/>
                <w:bCs/>
              </w:rPr>
            </w:pPr>
            <w:r>
              <w:rPr>
                <w:b/>
                <w:bCs/>
              </w:rPr>
              <w:t>1.7施工期的环境管理</w:t>
            </w:r>
          </w:p>
          <w:p>
            <w:pPr>
              <w:adjustRightInd w:val="0"/>
              <w:snapToGrid w:val="0"/>
              <w:spacing w:line="360" w:lineRule="auto"/>
              <w:ind w:firstLine="480" w:firstLineChars="200"/>
            </w:pPr>
            <w:r>
              <w:t>施工承包商在进行工程承包时，应将施工期的环境污染控制列入承包内容，并在工程开工前和施工过程中制定相应的环保防治措施和工程计划，施工工地做到的“六个百分之百”。</w:t>
            </w:r>
          </w:p>
          <w:p>
            <w:pPr>
              <w:adjustRightInd w:val="0"/>
              <w:snapToGrid w:val="0"/>
              <w:spacing w:line="360" w:lineRule="auto"/>
              <w:ind w:firstLine="480" w:firstLineChars="200"/>
            </w:pPr>
            <w:r>
              <w:t>（1）现场封闭管理百分之百。施工现场硬质围挡应连续设置，城区主要路段工地围挡高度不低于2.5m，一般路段的工地不低于1.8m，做到坚固、平稳、整洁、美观。在建工程外立面应用安全网实现全封闭围护。</w:t>
            </w:r>
          </w:p>
          <w:p>
            <w:pPr>
              <w:adjustRightInd w:val="0"/>
              <w:snapToGrid w:val="0"/>
              <w:spacing w:line="360" w:lineRule="auto"/>
              <w:ind w:firstLine="480" w:firstLineChars="200"/>
            </w:pPr>
            <w:r>
              <w:t>（2）场区道路硬化百分之百。施工期主要通道、进出道路、地面进行压实硬化处理。</w:t>
            </w:r>
          </w:p>
          <w:p>
            <w:pPr>
              <w:adjustRightInd w:val="0"/>
              <w:snapToGrid w:val="0"/>
              <w:spacing w:line="360" w:lineRule="auto"/>
              <w:ind w:firstLine="480" w:firstLineChars="200"/>
            </w:pPr>
            <w:r>
              <w:t>（3）物料</w:t>
            </w:r>
            <w:r>
              <w:rPr>
                <w:rFonts w:hint="eastAsia"/>
                <w:lang w:eastAsia="zh-CN"/>
              </w:rPr>
              <w:t>苫盖</w:t>
            </w:r>
            <w:r>
              <w:t>百分之百。施工现场内裸露的场地和集中堆放的土方应采取覆盖、固化或绿化等防尘措施。</w:t>
            </w:r>
          </w:p>
          <w:p>
            <w:pPr>
              <w:adjustRightInd w:val="0"/>
              <w:snapToGrid w:val="0"/>
              <w:spacing w:line="360" w:lineRule="auto"/>
              <w:ind w:firstLine="480" w:firstLineChars="200"/>
            </w:pPr>
            <w:r>
              <w:t>（4）洒水清扫保洁百分之百。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pPr>
              <w:adjustRightInd w:val="0"/>
              <w:snapToGrid w:val="0"/>
              <w:spacing w:line="360" w:lineRule="auto"/>
              <w:ind w:firstLine="480" w:firstLineChars="200"/>
            </w:pPr>
            <w:r>
              <w:t>（5）物料密闭运输百分之百。易产生扬尘的建筑材料、渣土应采取密闭搬运、存储或采用防尘布苫盖等防尘措施。严禁熔融沥青、焚烧垃圾等有毒有害物质，禁止无牌无证车辆进入施工现场。</w:t>
            </w:r>
          </w:p>
          <w:p>
            <w:pPr>
              <w:adjustRightInd w:val="0"/>
              <w:snapToGrid w:val="0"/>
              <w:spacing w:line="360" w:lineRule="auto"/>
              <w:ind w:firstLine="480" w:firstLineChars="200"/>
            </w:pPr>
            <w:r>
              <w:t>（6）出入车辆清洗百分之百。施工现场出入口处应对施工车辆冲洗，运输车辆底盘和车轮冲洗干净后方可驶离施工现场。</w:t>
            </w:r>
          </w:p>
          <w:p>
            <w:pPr>
              <w:pStyle w:val="3"/>
              <w:autoSpaceDE w:val="0"/>
              <w:adjustRightInd w:val="0"/>
              <w:snapToGrid w:val="0"/>
              <w:spacing w:before="0" w:after="0" w:line="360" w:lineRule="auto"/>
              <w:rPr>
                <w:kern w:val="0"/>
                <w:sz w:val="24"/>
                <w:szCs w:val="24"/>
              </w:rPr>
            </w:pPr>
            <w:r>
              <w:rPr>
                <w:kern w:val="0"/>
                <w:sz w:val="24"/>
                <w:szCs w:val="24"/>
              </w:rPr>
              <w:t>1.8环保“三同时”验收</w:t>
            </w:r>
          </w:p>
          <w:p>
            <w:pPr>
              <w:autoSpaceDE w:val="0"/>
              <w:adjustRightInd w:val="0"/>
              <w:snapToGrid w:val="0"/>
              <w:spacing w:line="360" w:lineRule="auto"/>
              <w:ind w:firstLine="480" w:firstLineChars="200"/>
              <w:rPr>
                <w:kern w:val="24"/>
              </w:rPr>
            </w:pPr>
            <w:r>
              <w:rPr>
                <w:kern w:val="24"/>
                <w:lang w:bidi="ar"/>
              </w:rPr>
              <w:t>（1）竣工验收管理及要求</w:t>
            </w:r>
          </w:p>
          <w:p>
            <w:pPr>
              <w:autoSpaceDE w:val="0"/>
              <w:adjustRightInd w:val="0"/>
              <w:snapToGrid w:val="0"/>
              <w:spacing w:line="360" w:lineRule="auto"/>
              <w:ind w:firstLine="480" w:firstLineChars="200"/>
              <w:rPr>
                <w:kern w:val="24"/>
              </w:rPr>
            </w:pPr>
            <w:r>
              <w:rPr>
                <w:kern w:val="24"/>
                <w:lang w:bidi="ar"/>
              </w:rPr>
              <w:t>在本工程正式投入使用之前，建设单位应当按照《建设项目竣工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pPr>
              <w:autoSpaceDE w:val="0"/>
              <w:adjustRightInd w:val="0"/>
              <w:snapToGrid w:val="0"/>
              <w:spacing w:line="360" w:lineRule="auto"/>
              <w:ind w:firstLine="480" w:firstLineChars="200"/>
              <w:rPr>
                <w:kern w:val="24"/>
              </w:rPr>
            </w:pPr>
            <w:r>
              <w:rPr>
                <w:kern w:val="24"/>
                <w:lang w:bidi="ar"/>
              </w:rPr>
              <w:t>建设项目竣工后，建设单位应当如实查验、监测、记载建设项目环境保护设施的建设和调试情况，编制验收监测报告。也可以委托有能力的技术机构编制完成验收监测报告的编制工作。建设单位对受委托的技术机构编制的验收监测（调查）报告结论负责。</w:t>
            </w:r>
          </w:p>
          <w:p>
            <w:pPr>
              <w:autoSpaceDE w:val="0"/>
              <w:adjustRightInd w:val="0"/>
              <w:snapToGrid w:val="0"/>
              <w:spacing w:line="360" w:lineRule="auto"/>
              <w:ind w:firstLine="480" w:firstLineChars="200"/>
              <w:rPr>
                <w:kern w:val="24"/>
              </w:rPr>
            </w:pPr>
            <w:r>
              <w:rPr>
                <w:kern w:val="24"/>
                <w:lang w:bidi="ar"/>
              </w:rPr>
              <w:t>验收监测（调查）报告编制完成后，建设单位应当根据验收监测（调查）报告结论，逐一检查是否存在《建设项目竣工验收暂行办法》中所列验收不合格的情形，提出验收意见。存在问题的，建设单位应当进行整改，整改完成后方可提出验收意见。</w:t>
            </w:r>
          </w:p>
          <w:p>
            <w:pPr>
              <w:autoSpaceDE w:val="0"/>
              <w:adjustRightInd w:val="0"/>
              <w:snapToGrid w:val="0"/>
              <w:spacing w:line="360" w:lineRule="auto"/>
              <w:ind w:firstLine="480" w:firstLineChars="200"/>
              <w:rPr>
                <w:kern w:val="24"/>
              </w:rPr>
            </w:pPr>
            <w:r>
              <w:rPr>
                <w:kern w:val="24"/>
                <w:lang w:bidi="ar"/>
              </w:rPr>
              <w:t>建设项目配套建设的环境保护设施经验收合格后，其主体工程方可投入生产或者使用；未经验收或者验收不合格的，不得投入生产或者使用。</w:t>
            </w:r>
          </w:p>
          <w:p>
            <w:pPr>
              <w:autoSpaceDE w:val="0"/>
              <w:adjustRightInd w:val="0"/>
              <w:snapToGrid w:val="0"/>
              <w:spacing w:line="360" w:lineRule="auto"/>
              <w:ind w:firstLine="480" w:firstLineChars="200"/>
              <w:rPr>
                <w:kern w:val="24"/>
              </w:rPr>
            </w:pPr>
            <w:r>
              <w:rPr>
                <w:kern w:val="24"/>
                <w:lang w:bidi="ar"/>
              </w:rPr>
              <w:t>（2）环保竣工验收</w:t>
            </w:r>
          </w:p>
          <w:p>
            <w:pPr>
              <w:autoSpaceDE w:val="0"/>
              <w:adjustRightInd w:val="0"/>
              <w:snapToGrid w:val="0"/>
              <w:spacing w:line="360" w:lineRule="auto"/>
              <w:ind w:firstLine="480" w:firstLineChars="200"/>
              <w:rPr>
                <w:kern w:val="24"/>
              </w:rPr>
            </w:pPr>
            <w:r>
              <w:rPr>
                <w:kern w:val="24"/>
                <w:lang w:bidi="ar"/>
              </w:rPr>
              <w:t>本工程为天然气管道工程，建设单位在工程建成运行后，应按照国务院[2017]第682号令《建设项目环境保护管理条例》（2017年10月1日）相关规定，及时组织环保设施竣工自行验收，竣工验收通过后，建设单位方可正式运营，本工程竣工环境保护验收内容详见表5-1。</w:t>
            </w:r>
          </w:p>
          <w:p>
            <w:pPr>
              <w:autoSpaceDE w:val="0"/>
              <w:adjustRightInd w:val="0"/>
              <w:snapToGrid w:val="0"/>
              <w:jc w:val="center"/>
              <w:rPr>
                <w:b/>
                <w:bCs/>
                <w:sz w:val="21"/>
                <w:szCs w:val="21"/>
              </w:rPr>
            </w:pPr>
            <w:r>
              <w:rPr>
                <w:b/>
                <w:bCs/>
                <w:sz w:val="21"/>
                <w:szCs w:val="21"/>
                <w:lang w:bidi="ar"/>
              </w:rPr>
              <w:t>表5-1      环境保护设施竣工验收</w:t>
            </w:r>
          </w:p>
          <w:tbl>
            <w:tblPr>
              <w:tblStyle w:val="23"/>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754"/>
              <w:gridCol w:w="2605"/>
              <w:gridCol w:w="255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1" w:type="pct"/>
                  <w:tcBorders>
                    <w:top w:val="single" w:color="auto" w:sz="12" w:space="0"/>
                    <w:left w:val="nil"/>
                    <w:bottom w:val="single" w:color="auto" w:sz="4" w:space="0"/>
                    <w:right w:val="single" w:color="auto" w:sz="4" w:space="0"/>
                  </w:tcBorders>
                  <w:shd w:val="clear" w:color="auto" w:fill="auto"/>
                  <w:vAlign w:val="center"/>
                </w:tcPr>
                <w:p>
                  <w:pPr>
                    <w:widowControl/>
                    <w:adjustRightInd w:val="0"/>
                    <w:snapToGrid w:val="0"/>
                    <w:jc w:val="center"/>
                    <w:rPr>
                      <w:b/>
                      <w:bCs/>
                      <w:kern w:val="0"/>
                      <w:sz w:val="21"/>
                      <w:szCs w:val="21"/>
                    </w:rPr>
                  </w:pPr>
                  <w:r>
                    <w:rPr>
                      <w:b/>
                      <w:bCs/>
                      <w:kern w:val="0"/>
                      <w:sz w:val="21"/>
                      <w:szCs w:val="21"/>
                      <w:lang w:bidi="ar"/>
                    </w:rPr>
                    <w:t>内容</w:t>
                  </w:r>
                </w:p>
              </w:tc>
              <w:tc>
                <w:tcPr>
                  <w:tcW w:w="1134"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bCs/>
                      <w:kern w:val="0"/>
                      <w:sz w:val="21"/>
                      <w:szCs w:val="21"/>
                    </w:rPr>
                  </w:pPr>
                  <w:r>
                    <w:rPr>
                      <w:b/>
                      <w:bCs/>
                      <w:kern w:val="0"/>
                      <w:sz w:val="21"/>
                      <w:szCs w:val="21"/>
                      <w:lang w:bidi="ar"/>
                    </w:rPr>
                    <w:t>验收位置及内容</w:t>
                  </w:r>
                </w:p>
              </w:tc>
              <w:tc>
                <w:tcPr>
                  <w:tcW w:w="1683"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b/>
                      <w:bCs/>
                      <w:kern w:val="0"/>
                      <w:sz w:val="21"/>
                      <w:szCs w:val="21"/>
                    </w:rPr>
                  </w:pPr>
                  <w:r>
                    <w:rPr>
                      <w:b/>
                      <w:bCs/>
                      <w:kern w:val="0"/>
                      <w:sz w:val="21"/>
                      <w:szCs w:val="21"/>
                      <w:lang w:bidi="ar"/>
                    </w:rPr>
                    <w:t>主要环保措施及验收内容</w:t>
                  </w:r>
                </w:p>
              </w:tc>
              <w:tc>
                <w:tcPr>
                  <w:tcW w:w="1650" w:type="pct"/>
                  <w:tcBorders>
                    <w:top w:val="single" w:color="auto" w:sz="12" w:space="0"/>
                    <w:left w:val="single" w:color="auto" w:sz="4" w:space="0"/>
                    <w:bottom w:val="single" w:color="auto" w:sz="4" w:space="0"/>
                    <w:right w:val="nil"/>
                  </w:tcBorders>
                  <w:shd w:val="clear" w:color="auto" w:fill="auto"/>
                  <w:vAlign w:val="center"/>
                </w:tcPr>
                <w:p>
                  <w:pPr>
                    <w:widowControl/>
                    <w:adjustRightInd w:val="0"/>
                    <w:snapToGrid w:val="0"/>
                    <w:jc w:val="center"/>
                    <w:rPr>
                      <w:b/>
                      <w:bCs/>
                      <w:kern w:val="0"/>
                      <w:sz w:val="21"/>
                      <w:szCs w:val="21"/>
                    </w:rPr>
                  </w:pPr>
                  <w:r>
                    <w:rPr>
                      <w:b/>
                      <w:bCs/>
                      <w:kern w:val="0"/>
                      <w:sz w:val="21"/>
                      <w:szCs w:val="21"/>
                      <w:lang w:bidi="ar"/>
                    </w:rPr>
                    <w:t>验收要求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3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环保手续</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环保资料</w:t>
                  </w:r>
                </w:p>
              </w:tc>
              <w:tc>
                <w:tcPr>
                  <w:tcW w:w="16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进行了环境影响评价</w:t>
                  </w:r>
                </w:p>
              </w:tc>
              <w:tc>
                <w:tcPr>
                  <w:tcW w:w="1650" w:type="pct"/>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kern w:val="0"/>
                      <w:sz w:val="21"/>
                      <w:szCs w:val="21"/>
                    </w:rPr>
                  </w:pPr>
                  <w:r>
                    <w:rPr>
                      <w:kern w:val="0"/>
                      <w:sz w:val="21"/>
                      <w:szCs w:val="21"/>
                      <w:lang w:bidi="ar"/>
                    </w:rPr>
                    <w:t>建设前期环境保护审查、审批手续完备，技术资料、环境保护档案资料齐全</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3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生态环境</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施工场地恢复、有无施工遗留问题</w:t>
                  </w:r>
                </w:p>
              </w:tc>
              <w:tc>
                <w:tcPr>
                  <w:tcW w:w="16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水土保持措施、植被恢复、施工场地清理、地面平整</w:t>
                  </w:r>
                </w:p>
              </w:tc>
              <w:tc>
                <w:tcPr>
                  <w:tcW w:w="1650" w:type="pct"/>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kern w:val="0"/>
                      <w:sz w:val="21"/>
                      <w:szCs w:val="21"/>
                    </w:rPr>
                  </w:pPr>
                  <w:r>
                    <w:rPr>
                      <w:kern w:val="0"/>
                      <w:sz w:val="21"/>
                      <w:szCs w:val="21"/>
                      <w:lang w:bidi="ar"/>
                    </w:rPr>
                    <w:t>破土土地恢复原状，减少工程导致的水土流失，无遗留环境问题。</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3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环境管理</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环境管理制度</w:t>
                  </w:r>
                </w:p>
              </w:tc>
              <w:tc>
                <w:tcPr>
                  <w:tcW w:w="3333" w:type="pct"/>
                  <w:gridSpan w:val="2"/>
                  <w:tcBorders>
                    <w:top w:val="single" w:color="auto" w:sz="4" w:space="0"/>
                    <w:left w:val="single" w:color="auto" w:sz="4" w:space="0"/>
                    <w:bottom w:val="single" w:color="auto" w:sz="4" w:space="0"/>
                    <w:right w:val="nil"/>
                  </w:tcBorders>
                  <w:shd w:val="clear" w:color="auto" w:fill="auto"/>
                  <w:vAlign w:val="center"/>
                </w:tcPr>
                <w:p>
                  <w:pPr>
                    <w:rPr>
                      <w:sz w:val="21"/>
                      <w:szCs w:val="21"/>
                    </w:rPr>
                  </w:pPr>
                  <w:r>
                    <w:rPr>
                      <w:kern w:val="0"/>
                      <w:sz w:val="21"/>
                      <w:szCs w:val="21"/>
                      <w:lang w:bidi="ar"/>
                    </w:rPr>
                    <w:t>调查环境管理机构设置、各项环境保护规章制度建立情况；施工期和营运期各项相关环境管理制度的建立与执行情况</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31" w:type="pct"/>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环境敏感目标</w:t>
                  </w:r>
                </w:p>
              </w:tc>
              <w:tc>
                <w:tcPr>
                  <w:tcW w:w="11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环境敏感目标的调查</w:t>
                  </w:r>
                </w:p>
              </w:tc>
              <w:tc>
                <w:tcPr>
                  <w:tcW w:w="3333" w:type="pct"/>
                  <w:gridSpan w:val="2"/>
                  <w:tcBorders>
                    <w:top w:val="single" w:color="auto" w:sz="4" w:space="0"/>
                    <w:left w:val="single" w:color="auto" w:sz="4" w:space="0"/>
                    <w:bottom w:val="single" w:color="auto" w:sz="4" w:space="0"/>
                    <w:right w:val="nil"/>
                  </w:tcBorders>
                  <w:shd w:val="clear" w:color="auto" w:fill="auto"/>
                  <w:vAlign w:val="center"/>
                </w:tcPr>
                <w:p>
                  <w:pPr>
                    <w:widowControl/>
                    <w:adjustRightInd w:val="0"/>
                    <w:snapToGrid w:val="0"/>
                    <w:jc w:val="center"/>
                    <w:rPr>
                      <w:kern w:val="0"/>
                      <w:sz w:val="21"/>
                      <w:szCs w:val="21"/>
                    </w:rPr>
                  </w:pPr>
                  <w:r>
                    <w:rPr>
                      <w:kern w:val="0"/>
                      <w:sz w:val="21"/>
                      <w:szCs w:val="21"/>
                      <w:lang w:bidi="ar"/>
                    </w:rPr>
                    <w:t>了解环境敏感目标的位置、规模与工程的相对位置，所处的环境功能区及保护内容。</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31" w:type="pct"/>
                  <w:tcBorders>
                    <w:top w:val="single" w:color="auto" w:sz="4" w:space="0"/>
                    <w:left w:val="nil"/>
                    <w:bottom w:val="single" w:color="auto" w:sz="12"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环境风险</w:t>
                  </w:r>
                </w:p>
              </w:tc>
              <w:tc>
                <w:tcPr>
                  <w:tcW w:w="1134"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adjustRightInd w:val="0"/>
                    <w:snapToGrid w:val="0"/>
                    <w:jc w:val="center"/>
                    <w:rPr>
                      <w:kern w:val="0"/>
                      <w:sz w:val="21"/>
                      <w:szCs w:val="21"/>
                    </w:rPr>
                  </w:pPr>
                  <w:r>
                    <w:rPr>
                      <w:kern w:val="0"/>
                      <w:sz w:val="21"/>
                      <w:szCs w:val="21"/>
                      <w:lang w:bidi="ar"/>
                    </w:rPr>
                    <w:t>环境风险管理</w:t>
                  </w:r>
                </w:p>
              </w:tc>
              <w:tc>
                <w:tcPr>
                  <w:tcW w:w="3333" w:type="pct"/>
                  <w:gridSpan w:val="2"/>
                  <w:tcBorders>
                    <w:top w:val="single" w:color="auto" w:sz="4" w:space="0"/>
                    <w:left w:val="single" w:color="auto" w:sz="4" w:space="0"/>
                    <w:bottom w:val="single" w:color="auto" w:sz="12" w:space="0"/>
                    <w:right w:val="nil"/>
                  </w:tcBorders>
                  <w:shd w:val="clear" w:color="auto" w:fill="auto"/>
                  <w:vAlign w:val="center"/>
                </w:tcPr>
                <w:p>
                  <w:pPr>
                    <w:widowControl/>
                    <w:adjustRightInd w:val="0"/>
                    <w:snapToGrid w:val="0"/>
                    <w:jc w:val="center"/>
                    <w:rPr>
                      <w:kern w:val="0"/>
                      <w:sz w:val="21"/>
                      <w:szCs w:val="21"/>
                    </w:rPr>
                  </w:pPr>
                  <w:r>
                    <w:rPr>
                      <w:kern w:val="0"/>
                      <w:sz w:val="21"/>
                      <w:szCs w:val="21"/>
                      <w:lang w:bidi="ar"/>
                    </w:rPr>
                    <w:t>制定环境风险应急预案</w:t>
                  </w:r>
                </w:p>
              </w:tc>
            </w:tr>
          </w:tbl>
          <w:p>
            <w:pPr>
              <w:autoSpaceDE w:val="0"/>
              <w:spacing w:before="120" w:beforeLines="50" w:line="360" w:lineRule="auto"/>
              <w:rPr>
                <w:b/>
                <w:bCs/>
                <w:sz w:val="21"/>
                <w:szCs w:val="21"/>
                <w:lang w:bidi="ar"/>
              </w:rPr>
            </w:pPr>
            <w:r>
              <w:rPr>
                <w:b/>
                <w:bCs/>
                <w:spacing w:val="7"/>
              </w:rPr>
              <w:t>2、航空货运区项目</w:t>
            </w:r>
          </w:p>
          <w:p>
            <w:pPr>
              <w:autoSpaceDE w:val="0"/>
              <w:spacing w:line="360" w:lineRule="auto"/>
              <w:rPr>
                <w:b/>
                <w:bCs/>
                <w:spacing w:val="7"/>
              </w:rPr>
            </w:pPr>
            <w:r>
              <w:rPr>
                <w:b/>
                <w:bCs/>
                <w:spacing w:val="7"/>
              </w:rPr>
              <w:t>2.1施工期扬尘污染防治措施</w:t>
            </w:r>
          </w:p>
          <w:p>
            <w:pPr>
              <w:widowControl/>
              <w:spacing w:line="360" w:lineRule="auto"/>
              <w:ind w:firstLine="480" w:firstLineChars="200"/>
              <w:jc w:val="left"/>
            </w:pPr>
            <w:r>
              <w:rPr>
                <w:color w:val="000000"/>
                <w:kern w:val="0"/>
                <w:lang w:bidi="ar"/>
              </w:rPr>
              <w:t xml:space="preserve">施工期扬尘是本项目最主要的施工废气，在仅采取围栏的情况下，影响范围能缩小至90m，仍对周围环境有一定的影响，因此有必要提出进一步的防治措施： </w:t>
            </w:r>
          </w:p>
          <w:p>
            <w:pPr>
              <w:widowControl/>
              <w:spacing w:line="360" w:lineRule="auto"/>
              <w:ind w:firstLine="480" w:firstLineChars="200"/>
              <w:jc w:val="left"/>
              <w:rPr>
                <w:color w:val="000000"/>
                <w:kern w:val="0"/>
                <w:lang w:bidi="ar"/>
              </w:rPr>
            </w:pPr>
            <w:r>
              <w:rPr>
                <w:color w:val="000000"/>
                <w:kern w:val="0"/>
                <w:lang w:bidi="ar"/>
              </w:rPr>
              <w:t>①施工边界设置的围栏应在 1.8m 以上，对施工道路进行硬化，避免车辆碾压施工弃土，造成大的扬尘污染。②建筑材料的防尘管理措施：施工过程中使用水泥、石灰、砂石、涂料、铺装材料等易产生扬尘的建筑材料应采取下列措施之一防尘：a)密闭存储；b)设置围挡或堆砌围墙；c)采用防尘布苫盖。③建筑垃圾的防尘管理措施：施工工程中产生的弃土、弃料及其他建筑垃圾，应及时清运。若在工地内堆置超过一周的，则应采取下列措施之一防尘：a)覆盖防尘布、防尘网；b)定期喷洒抑尘剂；c)定期喷水压尘。④规定进出工地的物料、渣土、垃圾运输车辆的防尘措施、运输路线和时间：进出工地的物料、渣土、垃圾运输车辆应尽可能采用密闭车斗，并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⑤施工工地道路积尘清理措施：可采用吸尘或水冲洗的方法清洁施工工地道路积尘，不得在未实施洒水等抑尘措施情况下进行直接清扫。⑥对于工地内裸露地面，应采取下列措施之一防尘：a）覆盖防尘布或防尘网；b)铺设礁渣、细石或其他功能相当的材料；c)做好绿化工作；d）定时定量洒水。⑦混凝土的防尘措施：施工期间需使用混凝土时，应使用预拌商品混凝土，不得在现场露天搅拌混凝土、消化石灰及拌石灰土等。应尽量采用石材、木制等成品或半成品实施装配式施工，减少因切割所造成的扬尘污染。⑧物料、渣土、垃圾等纵向输送作业的防尘措施：施工期间，工地内从建筑上层将具有粉尘逸散性的物料、渣土或废弃物输送至地面建筑内部管道或密闭输送管道输送，或者打包装框搬运，不得凌空抛撒。⑨工地应设专职人员负责扬尘控制措施的实施和监督：由专人负责逸散性材料、垃圾、渣土、裸地等密闭、覆盖、洒水作业以及车辆清洗作业等，并记录扬尘控制措施的实施情况。⑩施工工地做到的“六个百分之百”。a.现场封闭管理百分之百。施工现场硬质围挡应连续设置，城区主要路段工地围挡高度不低于 2.5m，一般路段的工地不低于 1.8m，做到坚固、平稳、整洁、美观。在建工程外立面应用安全网实现全封闭围护。b.场区道路硬化百分之百。主要通道、进出道路、材料加工区及办公生活区地面进行硬化处理。c.渣土物料蓬盖百分之百。施工现场内裸露的场地和集中堆放的土方应采取覆盖、固化或绿化等防尘措施，易产生扬尘的物料要篷盖。d.洒水清扫保洁百分之百。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e.物料密闭运输百分之百。易产生扬尘的建筑材料、渣土应采取密闭搬运、存储或采用防尘布苫盖等防尘措施。严禁熔融沥青、焚烧垃圾等有毒有害物质，禁止无牌无证车辆进入施工现场。f.出入车辆清洗百分之百。施工现场出入口处设置自动车辆冲洗装置和沉淀池，运输车辆底盘和车轮冲洗干净后方可驶离施工现场。</w:t>
            </w:r>
          </w:p>
          <w:p>
            <w:pPr>
              <w:widowControl/>
              <w:spacing w:line="360" w:lineRule="auto"/>
              <w:ind w:firstLine="480" w:firstLineChars="200"/>
              <w:jc w:val="left"/>
              <w:rPr>
                <w:color w:val="000000"/>
                <w:kern w:val="0"/>
                <w:lang w:bidi="ar"/>
              </w:rPr>
            </w:pPr>
            <w:r>
              <w:rPr>
                <w:color w:val="000000"/>
                <w:kern w:val="0"/>
                <w:lang w:bidi="ar"/>
              </w:rPr>
              <w:t>（2）施工机械和运输车辆尾气污染防治措施</w:t>
            </w:r>
          </w:p>
          <w:p>
            <w:pPr>
              <w:widowControl/>
              <w:spacing w:line="360" w:lineRule="auto"/>
              <w:ind w:firstLine="480" w:firstLineChars="200"/>
              <w:jc w:val="left"/>
              <w:rPr>
                <w:color w:val="000000"/>
                <w:kern w:val="0"/>
                <w:lang w:bidi="ar"/>
              </w:rPr>
            </w:pPr>
            <w:r>
              <w:rPr>
                <w:color w:val="000000"/>
                <w:kern w:val="0"/>
                <w:lang w:bidi="ar"/>
              </w:rPr>
              <w:t>建设方必须合理安排工期和施工时间，加强施工管理，按规定要求采取治理措施，当施工机械进入施工现场时，尽量确保正常运行时间，减少怠速、减速和加速时间，另外，所有施工机械尽量使用环保系施工机械，燃油机车和施工机械尽可能使用柴油。对排烟大的施工机械安装消烟装置，以减轻对大气环境的污染，将影响控制在较低程度。</w:t>
            </w:r>
          </w:p>
          <w:p>
            <w:pPr>
              <w:widowControl/>
              <w:spacing w:line="360" w:lineRule="auto"/>
              <w:ind w:firstLine="480" w:firstLineChars="200"/>
              <w:jc w:val="left"/>
              <w:rPr>
                <w:color w:val="000000"/>
                <w:kern w:val="0"/>
                <w:lang w:bidi="ar"/>
              </w:rPr>
            </w:pPr>
            <w:r>
              <w:rPr>
                <w:color w:val="000000"/>
                <w:kern w:val="0"/>
                <w:lang w:bidi="ar"/>
              </w:rPr>
              <w:t>（3）装修废气</w:t>
            </w:r>
          </w:p>
          <w:p>
            <w:pPr>
              <w:widowControl/>
              <w:spacing w:line="360" w:lineRule="auto"/>
              <w:ind w:firstLine="480" w:firstLineChars="200"/>
              <w:jc w:val="left"/>
              <w:rPr>
                <w:color w:val="000000"/>
                <w:kern w:val="0"/>
                <w:lang w:bidi="ar"/>
              </w:rPr>
            </w:pPr>
            <w:r>
              <w:rPr>
                <w:color w:val="000000"/>
                <w:kern w:val="0"/>
                <w:lang w:bidi="ar"/>
              </w:rPr>
              <w:t>施工装修期间，涂料、油漆等装修材料的选取应按照国家质检总局颁布的《室内装修材料10项有害物质限量》中规定进行，严格控制室内甲醛、苯系物等挥发性有机物及放射性元素氡，使各项污染物指标达到（GB/T18883-2002）《室内空气质量标准》、《室内空气质量卫生规范》（2001 年）和《民用建筑工程室内环境污染控制规范》中限值要求，降低室内环境污染。</w:t>
            </w:r>
          </w:p>
          <w:p>
            <w:pPr>
              <w:widowControl/>
              <w:spacing w:line="360" w:lineRule="auto"/>
              <w:ind w:firstLine="480" w:firstLineChars="200"/>
              <w:jc w:val="left"/>
              <w:rPr>
                <w:color w:val="000000"/>
                <w:kern w:val="0"/>
                <w:lang w:bidi="ar"/>
              </w:rPr>
            </w:pPr>
            <w:r>
              <w:rPr>
                <w:color w:val="000000"/>
                <w:kern w:val="0"/>
                <w:lang w:bidi="ar"/>
              </w:rPr>
              <w:t>综上所述，在采取相应措施并严格按照本评价要求进行施工的前提下，本项目施工大气污染物对周围大气环境影响不大，且随施工结束而消除。</w:t>
            </w:r>
          </w:p>
          <w:p>
            <w:pPr>
              <w:spacing w:line="360" w:lineRule="auto"/>
              <w:rPr>
                <w:b/>
                <w:bCs/>
                <w:spacing w:val="7"/>
              </w:rPr>
            </w:pPr>
            <w:r>
              <w:rPr>
                <w:b/>
                <w:bCs/>
                <w:spacing w:val="7"/>
              </w:rPr>
              <w:t>2.2废水影响治理措施</w:t>
            </w:r>
          </w:p>
          <w:p>
            <w:pPr>
              <w:widowControl/>
              <w:spacing w:line="360" w:lineRule="auto"/>
              <w:ind w:firstLine="480" w:firstLineChars="200"/>
              <w:jc w:val="left"/>
              <w:rPr>
                <w:color w:val="000000"/>
                <w:kern w:val="0"/>
                <w:lang w:bidi="ar"/>
              </w:rPr>
            </w:pPr>
            <w:r>
              <w:rPr>
                <w:color w:val="000000"/>
                <w:kern w:val="0"/>
                <w:lang w:bidi="ar"/>
              </w:rPr>
              <w:t>施工期产生的废水主要包括车辆、机械设备的冲洗废水和施工时产生的生活废水等。</w:t>
            </w:r>
          </w:p>
          <w:p>
            <w:pPr>
              <w:widowControl/>
              <w:spacing w:line="360" w:lineRule="auto"/>
              <w:ind w:firstLine="480" w:firstLineChars="200"/>
              <w:jc w:val="left"/>
              <w:rPr>
                <w:color w:val="000000"/>
                <w:kern w:val="0"/>
                <w:lang w:bidi="ar"/>
              </w:rPr>
            </w:pPr>
            <w:r>
              <w:rPr>
                <w:color w:val="000000"/>
                <w:kern w:val="0"/>
                <w:lang w:bidi="ar"/>
              </w:rPr>
              <w:t>（1）工程施工期间，施工单位应严格执行《建设工程施工场地文明施工及环境管理暂行规定》，对排水进行组织设计，严禁乱排、乱流污染环境；</w:t>
            </w:r>
          </w:p>
          <w:p>
            <w:pPr>
              <w:widowControl/>
              <w:spacing w:line="360" w:lineRule="auto"/>
              <w:ind w:firstLine="480" w:firstLineChars="200"/>
              <w:jc w:val="left"/>
              <w:rPr>
                <w:color w:val="000000"/>
                <w:kern w:val="0"/>
                <w:lang w:bidi="ar"/>
              </w:rPr>
            </w:pPr>
            <w:r>
              <w:rPr>
                <w:color w:val="000000"/>
                <w:kern w:val="0"/>
                <w:lang w:bidi="ar"/>
              </w:rPr>
              <w:t>（2）在施工场地混凝土养护废水产生点应设置临时沉淀池，含泥沙雨水、泥浆水经沉淀后回用到生产中去；</w:t>
            </w:r>
          </w:p>
          <w:p>
            <w:pPr>
              <w:widowControl/>
              <w:spacing w:line="360" w:lineRule="auto"/>
              <w:ind w:firstLine="480" w:firstLineChars="200"/>
              <w:jc w:val="left"/>
              <w:rPr>
                <w:color w:val="000000"/>
                <w:kern w:val="0"/>
                <w:lang w:bidi="ar"/>
              </w:rPr>
            </w:pPr>
            <w:r>
              <w:rPr>
                <w:color w:val="000000"/>
                <w:kern w:val="0"/>
                <w:lang w:bidi="ar"/>
              </w:rPr>
              <w:t>（3）加强施工机械设备的维修保养，避免在施工过程中燃料油的跑、冒、滴以及漏；</w:t>
            </w:r>
          </w:p>
          <w:p>
            <w:pPr>
              <w:widowControl/>
              <w:spacing w:line="360" w:lineRule="auto"/>
              <w:ind w:firstLine="480" w:firstLineChars="200"/>
              <w:jc w:val="left"/>
              <w:rPr>
                <w:color w:val="000000"/>
                <w:kern w:val="0"/>
                <w:lang w:bidi="ar"/>
              </w:rPr>
            </w:pPr>
            <w:r>
              <w:rPr>
                <w:color w:val="000000"/>
                <w:kern w:val="0"/>
                <w:lang w:bidi="ar"/>
              </w:rPr>
              <w:t>（4）不得随意在施工区域内冲洗汽车，对施工机械进行检修和清洗时必须定点，检修和清洗场地必须经水泥硬化，清洗污水应根据废水性质进行沉淀处理，用于道路的洒水降尘；</w:t>
            </w:r>
          </w:p>
          <w:p>
            <w:pPr>
              <w:widowControl/>
              <w:spacing w:line="360" w:lineRule="auto"/>
              <w:ind w:firstLine="480" w:firstLineChars="200"/>
              <w:jc w:val="left"/>
              <w:rPr>
                <w:color w:val="000000"/>
                <w:kern w:val="0"/>
                <w:lang w:bidi="ar"/>
              </w:rPr>
            </w:pPr>
            <w:r>
              <w:rPr>
                <w:color w:val="000000"/>
                <w:kern w:val="0"/>
                <w:lang w:bidi="ar"/>
              </w:rPr>
              <w:t>（5）生活污水依托周边园区设施。</w:t>
            </w:r>
          </w:p>
          <w:p>
            <w:pPr>
              <w:widowControl/>
              <w:spacing w:line="360" w:lineRule="auto"/>
              <w:ind w:firstLine="480" w:firstLineChars="200"/>
              <w:jc w:val="left"/>
              <w:rPr>
                <w:color w:val="000000"/>
                <w:kern w:val="0"/>
                <w:lang w:bidi="ar"/>
              </w:rPr>
            </w:pPr>
            <w:r>
              <w:rPr>
                <w:color w:val="000000"/>
                <w:kern w:val="0"/>
                <w:lang w:bidi="ar"/>
              </w:rPr>
              <w:t>（6）施工单位对施工场地用水应严格管理，贯彻“一水多用、重复利用、节约用水” 的原则，尽量减少废水的排放量，减轻废水排放对周围环境的影响。</w:t>
            </w:r>
          </w:p>
          <w:p>
            <w:pPr>
              <w:widowControl/>
              <w:spacing w:line="360" w:lineRule="auto"/>
              <w:ind w:firstLine="480" w:firstLineChars="200"/>
              <w:jc w:val="left"/>
              <w:rPr>
                <w:color w:val="000000"/>
                <w:kern w:val="0"/>
                <w:lang w:bidi="ar"/>
              </w:rPr>
            </w:pPr>
            <w:r>
              <w:rPr>
                <w:color w:val="000000"/>
                <w:kern w:val="0"/>
                <w:lang w:bidi="ar"/>
              </w:rPr>
              <w:t>综上所述，只要加强管理，把以上措施落到实处，施工废水对项目所在区域水环境影响很小。</w:t>
            </w:r>
          </w:p>
          <w:p>
            <w:pPr>
              <w:spacing w:line="360" w:lineRule="auto"/>
              <w:rPr>
                <w:b/>
                <w:bCs/>
                <w:spacing w:val="7"/>
              </w:rPr>
            </w:pPr>
            <w:r>
              <w:rPr>
                <w:b/>
                <w:bCs/>
                <w:spacing w:val="7"/>
              </w:rPr>
              <w:t>2.3噪声控制措施</w:t>
            </w:r>
          </w:p>
          <w:p>
            <w:pPr>
              <w:widowControl/>
              <w:spacing w:line="360" w:lineRule="auto"/>
              <w:ind w:firstLine="480" w:firstLineChars="200"/>
              <w:jc w:val="left"/>
              <w:rPr>
                <w:color w:val="000000"/>
                <w:kern w:val="0"/>
                <w:lang w:bidi="ar"/>
              </w:rPr>
            </w:pPr>
            <w:r>
              <w:rPr>
                <w:color w:val="000000"/>
                <w:kern w:val="0"/>
                <w:lang w:bidi="ar"/>
              </w:rPr>
              <w:t>（1）合理安排好施工时间，尽量缩短施工期。本评价要求建设方禁止在午休时间和夜间十二点以后进行施工，如特殊工序需进行夜间施工，应按相关规定到环保管理部门办理夜间施工许可证，并通告受影响人群，让其早做准备。</w:t>
            </w:r>
          </w:p>
          <w:p>
            <w:pPr>
              <w:widowControl/>
              <w:spacing w:line="360" w:lineRule="auto"/>
              <w:ind w:firstLine="480" w:firstLineChars="200"/>
              <w:jc w:val="left"/>
              <w:rPr>
                <w:color w:val="000000"/>
                <w:kern w:val="0"/>
                <w:lang w:bidi="ar"/>
              </w:rPr>
            </w:pPr>
            <w:r>
              <w:rPr>
                <w:color w:val="000000"/>
                <w:kern w:val="0"/>
                <w:lang w:bidi="ar"/>
              </w:rPr>
              <w:t>（2）施工设备选型时，在满足施工需要的前提下，尽可能选取噪声低、振动小、能耗小的先进设备，并避免长时间使用高噪声设备，加强施工机械的维护保养，高噪声设备设置在施工场地中部并修建临时隔声棚，并加强对现场工作人员进行培训，严格按操作规范使用各类机械设备。</w:t>
            </w:r>
          </w:p>
          <w:p>
            <w:pPr>
              <w:widowControl/>
              <w:spacing w:line="360" w:lineRule="auto"/>
              <w:ind w:firstLine="480" w:firstLineChars="200"/>
              <w:jc w:val="left"/>
              <w:rPr>
                <w:color w:val="000000"/>
                <w:kern w:val="0"/>
                <w:lang w:bidi="ar"/>
              </w:rPr>
            </w:pPr>
            <w:r>
              <w:rPr>
                <w:color w:val="000000"/>
                <w:kern w:val="0"/>
                <w:lang w:bidi="ar"/>
              </w:rPr>
              <w:t>（3）尽量将相对固定的机械设备入棚操作。</w:t>
            </w:r>
          </w:p>
          <w:p>
            <w:pPr>
              <w:widowControl/>
              <w:spacing w:line="360" w:lineRule="auto"/>
              <w:ind w:firstLine="480" w:firstLineChars="200"/>
              <w:jc w:val="left"/>
              <w:rPr>
                <w:color w:val="000000"/>
                <w:kern w:val="0"/>
                <w:lang w:bidi="ar"/>
              </w:rPr>
            </w:pPr>
            <w:r>
              <w:rPr>
                <w:color w:val="000000"/>
                <w:kern w:val="0"/>
                <w:lang w:bidi="ar"/>
              </w:rPr>
              <w:t>（4）将现场噪声源尽可能集中，缩小噪声范围。</w:t>
            </w:r>
          </w:p>
          <w:p>
            <w:pPr>
              <w:widowControl/>
              <w:spacing w:line="360" w:lineRule="auto"/>
              <w:ind w:firstLine="480" w:firstLineChars="200"/>
              <w:jc w:val="left"/>
              <w:rPr>
                <w:color w:val="000000"/>
                <w:kern w:val="0"/>
                <w:lang w:bidi="ar"/>
              </w:rPr>
            </w:pPr>
            <w:r>
              <w:rPr>
                <w:color w:val="000000"/>
                <w:kern w:val="0"/>
                <w:lang w:bidi="ar"/>
              </w:rPr>
              <w:t>（5）施工车辆的运行路线应尽量避开噪声敏感区域，严禁夜间装卸物料，材料运输车辆进入场地需安排专人指挥，场内禁止汽车鸣笛，材料装卸采用人工传递，严禁抛掷或汽车一次性下料。</w:t>
            </w:r>
          </w:p>
          <w:p>
            <w:pPr>
              <w:widowControl/>
              <w:spacing w:line="360" w:lineRule="auto"/>
              <w:ind w:firstLine="480" w:firstLineChars="200"/>
              <w:jc w:val="left"/>
              <w:rPr>
                <w:color w:val="000000"/>
                <w:kern w:val="0"/>
                <w:lang w:bidi="ar"/>
              </w:rPr>
            </w:pPr>
            <w:r>
              <w:rPr>
                <w:color w:val="000000"/>
                <w:kern w:val="0"/>
                <w:lang w:bidi="ar"/>
              </w:rPr>
              <w:t>（6）施工现场使用降噪安全围帘遮挡。</w:t>
            </w:r>
          </w:p>
          <w:p>
            <w:pPr>
              <w:widowControl/>
              <w:spacing w:line="360" w:lineRule="auto"/>
              <w:ind w:firstLine="480" w:firstLineChars="200"/>
              <w:jc w:val="left"/>
              <w:rPr>
                <w:color w:val="000000"/>
                <w:kern w:val="0"/>
                <w:lang w:bidi="ar"/>
              </w:rPr>
            </w:pPr>
            <w:r>
              <w:rPr>
                <w:color w:val="000000"/>
                <w:kern w:val="0"/>
                <w:lang w:bidi="ar"/>
              </w:rPr>
              <w:t>（7）使用商品混凝土，杜绝现场混凝土拌合噪声，尽量选用低噪声混凝土输送泵。</w:t>
            </w:r>
          </w:p>
          <w:p>
            <w:pPr>
              <w:widowControl/>
              <w:spacing w:line="360" w:lineRule="auto"/>
              <w:ind w:firstLine="480" w:firstLineChars="200"/>
              <w:jc w:val="left"/>
              <w:rPr>
                <w:color w:val="000000"/>
                <w:kern w:val="0"/>
                <w:lang w:bidi="ar"/>
              </w:rPr>
            </w:pPr>
            <w:r>
              <w:rPr>
                <w:color w:val="000000"/>
                <w:kern w:val="0"/>
                <w:lang w:bidi="ar"/>
              </w:rPr>
              <w:t>综上所述，在采取相应措施并严格按照本评价要求进行施工的前提下，本项目施工噪声对周围声环境影响可大大减轻，且随施工结束而消除。</w:t>
            </w:r>
          </w:p>
          <w:p>
            <w:pPr>
              <w:spacing w:line="360" w:lineRule="auto"/>
              <w:rPr>
                <w:b/>
                <w:bCs/>
                <w:spacing w:val="7"/>
              </w:rPr>
            </w:pPr>
            <w:r>
              <w:rPr>
                <w:b/>
                <w:bCs/>
                <w:spacing w:val="7"/>
              </w:rPr>
              <w:t>2.4固废控制措施</w:t>
            </w:r>
          </w:p>
          <w:p>
            <w:pPr>
              <w:widowControl/>
              <w:spacing w:line="360" w:lineRule="auto"/>
              <w:ind w:firstLine="480" w:firstLineChars="200"/>
              <w:jc w:val="left"/>
              <w:rPr>
                <w:color w:val="000000"/>
                <w:kern w:val="0"/>
                <w:lang w:bidi="ar"/>
              </w:rPr>
            </w:pPr>
            <w:r>
              <w:rPr>
                <w:color w:val="000000"/>
                <w:kern w:val="0"/>
                <w:lang w:bidi="ar"/>
              </w:rPr>
              <w:t>施工期产生的固体废物主要来源于建筑施工过程产生的建筑垃圾、施工人员产生的生活垃圾。为减少弃土在堆放和运输过程中对环境的影响，建议进一步采取如下措施：</w:t>
            </w:r>
          </w:p>
          <w:p>
            <w:pPr>
              <w:widowControl/>
              <w:spacing w:line="360" w:lineRule="auto"/>
              <w:ind w:firstLine="480" w:firstLineChars="200"/>
              <w:jc w:val="left"/>
              <w:rPr>
                <w:color w:val="000000"/>
                <w:kern w:val="0"/>
                <w:lang w:bidi="ar"/>
              </w:rPr>
            </w:pPr>
            <w:r>
              <w:rPr>
                <w:color w:val="000000"/>
                <w:kern w:val="0"/>
                <w:lang w:bidi="ar"/>
              </w:rPr>
              <w:t>（1）建筑垃圾：施工期间有部分施工垃圾如废砖、废钢铁、废油料等，这些建筑垃圾应分类收集，集中处理，回收利用，以实现固体废料的“减量化、资源化、无害化”。</w:t>
            </w:r>
          </w:p>
          <w:p>
            <w:pPr>
              <w:widowControl/>
              <w:spacing w:line="360" w:lineRule="auto"/>
              <w:ind w:firstLine="480" w:firstLineChars="200"/>
              <w:jc w:val="left"/>
              <w:rPr>
                <w:color w:val="000000"/>
                <w:kern w:val="0"/>
                <w:lang w:bidi="ar"/>
              </w:rPr>
            </w:pPr>
            <w:r>
              <w:rPr>
                <w:color w:val="000000"/>
                <w:kern w:val="0"/>
                <w:lang w:bidi="ar"/>
              </w:rPr>
              <w:t>（2）车辆运输散体物料和废弃物时，必须密闭、包扎、覆盖，不得沿途漏撒；运载土方的车辆必须在规定的时间内，按指定路段行驶。</w:t>
            </w:r>
          </w:p>
          <w:p>
            <w:pPr>
              <w:widowControl/>
              <w:spacing w:line="360" w:lineRule="auto"/>
              <w:ind w:firstLine="480" w:firstLineChars="200"/>
              <w:jc w:val="left"/>
              <w:rPr>
                <w:color w:val="000000"/>
                <w:kern w:val="0"/>
                <w:lang w:bidi="ar"/>
              </w:rPr>
            </w:pPr>
            <w:r>
              <w:rPr>
                <w:color w:val="000000"/>
                <w:kern w:val="0"/>
                <w:lang w:bidi="ar"/>
              </w:rPr>
              <w:t>（3）施工期应尽量集中并避开雨期，要边弃土边压实，弃土完毕后应尽快复垦利用。</w:t>
            </w:r>
          </w:p>
          <w:p>
            <w:pPr>
              <w:widowControl/>
              <w:spacing w:line="360" w:lineRule="auto"/>
              <w:ind w:firstLine="480" w:firstLineChars="200"/>
              <w:jc w:val="left"/>
              <w:rPr>
                <w:color w:val="000000"/>
                <w:kern w:val="0"/>
                <w:lang w:bidi="ar"/>
              </w:rPr>
            </w:pPr>
            <w:r>
              <w:rPr>
                <w:color w:val="000000"/>
                <w:kern w:val="0"/>
                <w:lang w:bidi="ar"/>
              </w:rPr>
              <w:t>（4）施工单位应该在施工前 5 日向渣土管理部门申报建筑垃圾、工程渣土处置计划，如实填报建筑垃圾和渣土的种类、数量、运输路线及处置场地等事项，并与渣土管理部门签订环境卫生责任书。</w:t>
            </w:r>
          </w:p>
          <w:p>
            <w:pPr>
              <w:widowControl/>
              <w:spacing w:line="360" w:lineRule="auto"/>
              <w:ind w:firstLine="480" w:firstLineChars="200"/>
              <w:jc w:val="left"/>
              <w:rPr>
                <w:color w:val="000000"/>
                <w:kern w:val="0"/>
                <w:lang w:bidi="ar"/>
              </w:rPr>
            </w:pPr>
            <w:r>
              <w:rPr>
                <w:color w:val="000000"/>
                <w:kern w:val="0"/>
                <w:lang w:bidi="ar"/>
              </w:rPr>
              <w:t>（5）施工部门应当持渣土管理部门核发的处置证明，向运输单位办理建筑垃圾、工程渣土托运手续。运输车辆在运输工程弃土、建筑垃圾时应随车携带处置证明，接受渣土管理部门的检查，运输路线应按渣土管理部门会同交通管理部门规定的线路运输。</w:t>
            </w:r>
          </w:p>
          <w:p>
            <w:pPr>
              <w:widowControl/>
              <w:spacing w:line="360" w:lineRule="auto"/>
              <w:ind w:firstLine="480" w:firstLineChars="200"/>
              <w:jc w:val="left"/>
              <w:rPr>
                <w:color w:val="000000"/>
                <w:kern w:val="0"/>
                <w:lang w:bidi="ar"/>
              </w:rPr>
            </w:pPr>
            <w:r>
              <w:rPr>
                <w:color w:val="000000"/>
                <w:kern w:val="0"/>
                <w:lang w:bidi="ar"/>
              </w:rPr>
              <w:t>（6）在工程完工后，应当立即将工地的剩余建筑垃圾、工程渣土</w:t>
            </w:r>
            <w:r>
              <w:rPr>
                <w:rFonts w:hint="eastAsia"/>
                <w:color w:val="000000"/>
                <w:kern w:val="0"/>
                <w:lang w:eastAsia="zh-CN" w:bidi="ar"/>
              </w:rPr>
              <w:t>处理</w:t>
            </w:r>
            <w:r>
              <w:rPr>
                <w:color w:val="000000"/>
                <w:kern w:val="0"/>
                <w:lang w:bidi="ar"/>
              </w:rPr>
              <w:t>干净，不得占用道路来堆放建筑垃圾和工程渣土。</w:t>
            </w:r>
          </w:p>
          <w:p>
            <w:pPr>
              <w:widowControl/>
              <w:spacing w:line="360" w:lineRule="auto"/>
              <w:ind w:firstLine="480" w:firstLineChars="200"/>
              <w:jc w:val="left"/>
            </w:pPr>
            <w:r>
              <w:rPr>
                <w:color w:val="000000"/>
                <w:kern w:val="0"/>
                <w:lang w:bidi="ar"/>
              </w:rPr>
              <w:t>综上所述，项目建设将会对项目所在区域的大气环境、水环境、声环境产生一定程度的影响，但均属局部不利影响，通过采取有效的预防和治理措施后，其影响程度将会大大降低，其影响范围也将减小，且随施工结束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3" w:hRule="atLeast"/>
          <w:jc w:val="center"/>
        </w:trPr>
        <w:tc>
          <w:tcPr>
            <w:tcW w:w="551" w:type="dxa"/>
            <w:tcMar>
              <w:left w:w="28" w:type="dxa"/>
              <w:right w:w="28" w:type="dxa"/>
            </w:tcMar>
            <w:vAlign w:val="center"/>
          </w:tcPr>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运营期生态环境保护措施</w:t>
            </w: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p>
          <w:p>
            <w:pPr>
              <w:adjustRightInd w:val="0"/>
              <w:snapToGrid w:val="0"/>
              <w:jc w:val="center"/>
              <w:rPr>
                <w:bCs/>
                <w:spacing w:val="10"/>
                <w:szCs w:val="21"/>
              </w:rPr>
            </w:pPr>
            <w:r>
              <w:rPr>
                <w:bCs/>
                <w:spacing w:val="10"/>
                <w:szCs w:val="21"/>
              </w:rPr>
              <w:t>运营期生态环境保护措施</w:t>
            </w:r>
          </w:p>
        </w:tc>
        <w:tc>
          <w:tcPr>
            <w:tcW w:w="7953" w:type="dxa"/>
            <w:vAlign w:val="center"/>
          </w:tcPr>
          <w:p>
            <w:pPr>
              <w:spacing w:before="120" w:beforeLines="50" w:line="360" w:lineRule="auto"/>
              <w:rPr>
                <w:b/>
                <w:bCs/>
                <w:lang w:bidi="ar"/>
              </w:rPr>
            </w:pPr>
            <w:r>
              <w:rPr>
                <w:b/>
                <w:bCs/>
              </w:rPr>
              <w:t>1、燃气管道建设项目</w:t>
            </w:r>
          </w:p>
          <w:p>
            <w:pPr>
              <w:adjustRightInd w:val="0"/>
              <w:snapToGrid w:val="0"/>
              <w:spacing w:line="360" w:lineRule="auto"/>
              <w:ind w:firstLine="480" w:firstLineChars="200"/>
            </w:pPr>
            <w:r>
              <w:t>本工程为天然气管道工程，属于非污染类建设工程，运营期无废气、废水、噪声排放，</w:t>
            </w:r>
            <w:r>
              <w:rPr>
                <w:color w:val="FF0000"/>
              </w:rPr>
              <w:t>运营期环境影响</w:t>
            </w:r>
            <w:r>
              <w:rPr>
                <w:rFonts w:hint="eastAsia"/>
                <w:color w:val="FF0000"/>
                <w:lang w:val="en-US" w:eastAsia="zh-CN"/>
              </w:rPr>
              <w:t>较小</w:t>
            </w:r>
            <w:r>
              <w:rPr>
                <w:color w:val="FF0000"/>
              </w:rPr>
              <w:t>。运营期主要工作阀井日常维护检修，破损防洪渠修葺过程会产生少量的固体废物。产生的固体废物应收集后拉运至环卫部门指定位置。</w:t>
            </w:r>
          </w:p>
          <w:p>
            <w:pPr>
              <w:spacing w:line="360" w:lineRule="auto"/>
              <w:rPr>
                <w:bCs/>
                <w:lang w:bidi="ar"/>
              </w:rPr>
            </w:pPr>
            <w:r>
              <w:rPr>
                <w:b/>
                <w:bCs/>
                <w:spacing w:val="7"/>
              </w:rPr>
              <w:t>2、航空货运区项目</w:t>
            </w:r>
          </w:p>
          <w:p>
            <w:pPr>
              <w:spacing w:line="360" w:lineRule="auto"/>
              <w:rPr>
                <w:b/>
                <w:bCs/>
                <w:spacing w:val="7"/>
              </w:rPr>
            </w:pPr>
            <w:r>
              <w:rPr>
                <w:b/>
                <w:bCs/>
                <w:spacing w:val="7"/>
              </w:rPr>
              <w:t>2.1废气污染物防治措施</w:t>
            </w:r>
          </w:p>
          <w:p>
            <w:pPr>
              <w:adjustRightInd w:val="0"/>
              <w:snapToGrid w:val="0"/>
              <w:spacing w:line="360" w:lineRule="auto"/>
              <w:ind w:firstLine="480" w:firstLineChars="200"/>
            </w:pPr>
            <w:r>
              <w:t>熏蒸废气采取活性炭吸附装置处理方式，可满足《工作场所有害因素职业接触限值化学有害因素》（GBZ2.1-2007）（2.0mg/m</w:t>
            </w:r>
            <w:r>
              <w:rPr>
                <w:vertAlign w:val="superscript"/>
              </w:rPr>
              <w:t>3</w:t>
            </w:r>
            <w:r>
              <w:t>），由于本项目为仓储物流行业，没有该评价因子的行业排放标准，考虑到处理区周边有人员活动，因此采用该标准评价；无害化处理废气采取布袋除尘器+生物滤池+15m 排气筒处理措施，可满足《大气污染物综合排放标准》（GB16297-1996）表2中排放标准；坏烂水果及肉类恶臭采取及时处理，大气扩散的处理措施，其排放浓度较少可满足《恶臭污染物排放标准》（GB14554-1993）表 1 中污染物厂界排放限值（氨：1.5mg/m</w:t>
            </w:r>
            <w:r>
              <w:rPr>
                <w:vertAlign w:val="superscript"/>
              </w:rPr>
              <w:t>3</w:t>
            </w:r>
            <w:r>
              <w:t>，硫化氢0.06mg/m</w:t>
            </w:r>
            <w:r>
              <w:rPr>
                <w:vertAlign w:val="superscript"/>
              </w:rPr>
              <w:t>3</w:t>
            </w:r>
            <w:r>
              <w:t>，臭气浓度20）。</w:t>
            </w:r>
          </w:p>
          <w:p>
            <w:pPr>
              <w:spacing w:line="360" w:lineRule="auto"/>
              <w:rPr>
                <w:spacing w:val="7"/>
              </w:rPr>
            </w:pPr>
            <w:r>
              <w:rPr>
                <w:b/>
                <w:bCs/>
                <w:spacing w:val="7"/>
              </w:rPr>
              <w:t>2.2</w:t>
            </w:r>
            <w:r>
              <w:rPr>
                <w:b/>
                <w:bCs/>
              </w:rPr>
              <w:t>废水污染物</w:t>
            </w:r>
            <w:r>
              <w:rPr>
                <w:b/>
                <w:bCs/>
                <w:spacing w:val="7"/>
              </w:rPr>
              <w:t>防治措施</w:t>
            </w:r>
          </w:p>
          <w:p>
            <w:pPr>
              <w:spacing w:line="360" w:lineRule="auto"/>
              <w:ind w:firstLine="480" w:firstLineChars="200"/>
              <w:rPr>
                <w:b/>
                <w:bCs/>
                <w:spacing w:val="7"/>
              </w:rPr>
            </w:pPr>
            <w:r>
              <w:t>本项目废水为生动物存放池和水生动物扣检池废水、生活废水和清洗消毒室废水</w:t>
            </w:r>
            <w:r>
              <w:rPr>
                <w:rFonts w:hint="eastAsia"/>
                <w:lang w:eastAsia="zh-CN"/>
              </w:rPr>
              <w:t>，</w:t>
            </w:r>
            <w:r>
              <w:t>主要污染因子CODcr、BOD5、SS、NH3-N、总余氯等，水质较为简单，污染物易于降解，根据污水类型，本项目运营期的废水集中排放至喀什市第一污水处理厂处理。</w:t>
            </w:r>
          </w:p>
          <w:p>
            <w:pPr>
              <w:spacing w:line="360" w:lineRule="auto"/>
              <w:rPr>
                <w:b/>
                <w:bCs/>
                <w:spacing w:val="7"/>
              </w:rPr>
            </w:pPr>
            <w:r>
              <w:rPr>
                <w:b/>
                <w:bCs/>
                <w:spacing w:val="7"/>
              </w:rPr>
              <w:t>2.3</w:t>
            </w:r>
            <w:r>
              <w:rPr>
                <w:b/>
                <w:bCs/>
              </w:rPr>
              <w:t>噪声</w:t>
            </w:r>
            <w:r>
              <w:rPr>
                <w:b/>
                <w:bCs/>
                <w:spacing w:val="7"/>
              </w:rPr>
              <w:t>防治措施</w:t>
            </w:r>
          </w:p>
          <w:p>
            <w:pPr>
              <w:widowControl/>
              <w:spacing w:line="360" w:lineRule="auto"/>
              <w:ind w:firstLine="480" w:firstLineChars="200"/>
            </w:pPr>
            <w:r>
              <w:t>为有效减少生产设备对职工的影响，采取如下措施：</w:t>
            </w:r>
          </w:p>
          <w:p>
            <w:pPr>
              <w:widowControl/>
              <w:spacing w:line="360" w:lineRule="auto"/>
              <w:ind w:firstLine="480" w:firstLineChars="200"/>
            </w:pPr>
            <w:r>
              <w:t>① 加强设备维护，建立专业的维修队伍，对厂房内各生产设备及辅助系统设施进行定期检查、维护以及维修，及时更换一些破损零部件，确保机械设备正常运转，减少非正常生产噪声；② 提高职工环保意识，禁止野蛮作业，减少人为噪声；③ 加强职工劳动保护，高噪声接触岗位要求职工佩戴耳罩，同时可考虑采用轮岗制度减少职工对高噪声接触时间。</w:t>
            </w:r>
          </w:p>
          <w:p>
            <w:pPr>
              <w:spacing w:line="360" w:lineRule="auto"/>
              <w:rPr>
                <w:b/>
                <w:bCs/>
                <w:spacing w:val="7"/>
              </w:rPr>
            </w:pPr>
            <w:r>
              <w:rPr>
                <w:b/>
                <w:bCs/>
                <w:spacing w:val="7"/>
              </w:rPr>
              <w:t>2.4固体废物防治措施</w:t>
            </w:r>
          </w:p>
          <w:p>
            <w:pPr>
              <w:widowControl/>
              <w:spacing w:line="360" w:lineRule="auto"/>
              <w:ind w:firstLine="480" w:firstLineChars="200"/>
              <w:jc w:val="left"/>
              <w:rPr>
                <w:color w:val="auto"/>
              </w:rPr>
            </w:pPr>
            <w:r>
              <w:rPr>
                <w:color w:val="auto"/>
                <w:kern w:val="0"/>
                <w:lang w:bidi="ar"/>
              </w:rPr>
              <w:t xml:space="preserve">本项目所产固废主要为废活性炭、废防疫装备、废烂水果以及职工产生的生活垃圾。 </w:t>
            </w:r>
          </w:p>
          <w:p>
            <w:pPr>
              <w:widowControl/>
              <w:spacing w:line="360" w:lineRule="auto"/>
              <w:ind w:firstLine="480" w:firstLineChars="200"/>
              <w:jc w:val="left"/>
            </w:pPr>
            <w:r>
              <w:rPr>
                <w:color w:val="auto"/>
                <w:kern w:val="0"/>
                <w:lang w:bidi="ar"/>
              </w:rPr>
              <w:t>废活性炭集中收集后暂存于危废暂存间（暂存间建设面积4m</w:t>
            </w:r>
            <w:r>
              <w:rPr>
                <w:color w:val="auto"/>
                <w:kern w:val="0"/>
                <w:vertAlign w:val="superscript"/>
                <w:lang w:bidi="ar"/>
              </w:rPr>
              <w:t>2</w:t>
            </w:r>
            <w:r>
              <w:rPr>
                <w:color w:val="auto"/>
                <w:kern w:val="0"/>
                <w:lang w:bidi="ar"/>
              </w:rPr>
              <w:t>，位于项目区南侧），定期送往具有危废处置资质单位处理，不随意丢弃，对周围环境影响较小；废防疫装备</w:t>
            </w:r>
            <w:r>
              <w:rPr>
                <w:color w:val="000000"/>
                <w:kern w:val="0"/>
                <w:lang w:bidi="ar"/>
              </w:rPr>
              <w:t>交有资质的危险废物单位处理；废烂水果和生活垃圾集中收集后交由环卫部门处理项目区设置垃圾箱，生活垃圾集中收集至垃圾桶后，统一清运至环卫部门指定垃圾填埋场处理，不得对外随意丢弃，以最大限度地减少生活垃圾对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vAlign w:val="center"/>
          </w:tcPr>
          <w:p>
            <w:pPr>
              <w:adjustRightInd w:val="0"/>
              <w:snapToGrid w:val="0"/>
              <w:jc w:val="center"/>
              <w:rPr>
                <w:bCs/>
                <w:spacing w:val="10"/>
                <w:szCs w:val="21"/>
              </w:rPr>
            </w:pPr>
            <w:r>
              <w:rPr>
                <w:bCs/>
                <w:szCs w:val="21"/>
              </w:rPr>
              <w:t>其他</w:t>
            </w:r>
          </w:p>
        </w:tc>
        <w:tc>
          <w:tcPr>
            <w:tcW w:w="7953" w:type="dxa"/>
            <w:vAlign w:val="center"/>
          </w:tcPr>
          <w:p>
            <w:pPr>
              <w:adjustRightInd w:val="0"/>
              <w:snapToGrid w:val="0"/>
              <w:spacing w:line="360" w:lineRule="auto"/>
              <w:ind w:firstLine="3840" w:firstLineChars="1600"/>
            </w:pPr>
            <w: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51" w:type="dxa"/>
            <w:vAlign w:val="center"/>
          </w:tcPr>
          <w:p>
            <w:pPr>
              <w:adjustRightInd w:val="0"/>
              <w:snapToGrid w:val="0"/>
              <w:jc w:val="center"/>
              <w:rPr>
                <w:bCs/>
                <w:spacing w:val="10"/>
                <w:szCs w:val="21"/>
              </w:rPr>
            </w:pPr>
            <w:r>
              <w:rPr>
                <w:bCs/>
                <w:szCs w:val="21"/>
              </w:rPr>
              <w:t>环保投资</w:t>
            </w:r>
          </w:p>
        </w:tc>
        <w:tc>
          <w:tcPr>
            <w:tcW w:w="7953" w:type="dxa"/>
          </w:tcPr>
          <w:p>
            <w:pPr>
              <w:topLinePunct/>
              <w:autoSpaceDE w:val="0"/>
              <w:spacing w:before="120" w:beforeLines="50" w:line="360" w:lineRule="auto"/>
              <w:ind w:firstLine="480" w:firstLineChars="200"/>
              <w:textAlignment w:val="baseline"/>
              <w:rPr>
                <w:kern w:val="0"/>
              </w:rPr>
            </w:pPr>
            <w:r>
              <w:rPr>
                <w:kern w:val="0"/>
                <w:lang w:bidi="ar"/>
              </w:rPr>
              <w:t>本工程总投资6064.54万元，其中环保投资167万元，占总投资的2.75%。项目环保投资详见表5-2。</w:t>
            </w:r>
          </w:p>
          <w:p>
            <w:pPr>
              <w:adjustRightInd w:val="0"/>
              <w:snapToGrid w:val="0"/>
              <w:jc w:val="center"/>
              <w:textAlignment w:val="baseline"/>
              <w:rPr>
                <w:b/>
                <w:sz w:val="21"/>
                <w:szCs w:val="21"/>
                <w:lang w:bidi="ar"/>
              </w:rPr>
            </w:pPr>
            <w:r>
              <w:rPr>
                <w:b/>
                <w:sz w:val="21"/>
                <w:szCs w:val="21"/>
                <w:lang w:bidi="ar"/>
              </w:rPr>
              <w:t>表5-2  项目环保投资一览表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237"/>
              <w:gridCol w:w="5403"/>
              <w:gridCol w:w="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078" w:type="pct"/>
                  <w:gridSpan w:val="2"/>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b/>
                      <w:bCs/>
                      <w:sz w:val="21"/>
                      <w:szCs w:val="21"/>
                    </w:rPr>
                  </w:pPr>
                  <w:r>
                    <w:rPr>
                      <w:rFonts w:ascii="Times New Roman" w:hAnsi="Times New Roman"/>
                      <w:b/>
                      <w:bCs/>
                      <w:sz w:val="21"/>
                      <w:szCs w:val="21"/>
                      <w:lang w:bidi="ar"/>
                    </w:rPr>
                    <w:t>项目</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b/>
                      <w:bCs/>
                      <w:sz w:val="21"/>
                      <w:szCs w:val="21"/>
                    </w:rPr>
                  </w:pPr>
                  <w:r>
                    <w:rPr>
                      <w:rFonts w:ascii="Times New Roman" w:hAnsi="Times New Roman"/>
                      <w:b/>
                      <w:bCs/>
                      <w:sz w:val="21"/>
                      <w:szCs w:val="21"/>
                      <w:lang w:bidi="ar"/>
                    </w:rPr>
                    <w:t>环保措施概要</w:t>
                  </w:r>
                </w:p>
              </w:tc>
              <w:tc>
                <w:tcPr>
                  <w:tcW w:w="428" w:type="pct"/>
                  <w:tcBorders>
                    <w:tl2br w:val="nil"/>
                    <w:tr2bl w:val="nil"/>
                  </w:tcBorders>
                  <w:shd w:val="clear" w:color="auto" w:fill="auto"/>
                  <w:vAlign w:val="center"/>
                </w:tcPr>
                <w:p>
                  <w:pPr>
                    <w:pStyle w:val="19"/>
                    <w:widowControl w:val="0"/>
                    <w:adjustRightInd w:val="0"/>
                    <w:snapToGrid w:val="0"/>
                    <w:spacing w:before="0" w:beforeAutospacing="0" w:after="0" w:afterAutospacing="0"/>
                    <w:jc w:val="center"/>
                    <w:textAlignment w:val="baseline"/>
                    <w:rPr>
                      <w:rFonts w:ascii="Times New Roman" w:hAnsi="Times New Roman"/>
                      <w:b/>
                      <w:bCs/>
                      <w:sz w:val="21"/>
                      <w:szCs w:val="21"/>
                    </w:rPr>
                  </w:pPr>
                  <w:r>
                    <w:rPr>
                      <w:rFonts w:ascii="Times New Roman" w:hAnsi="Times New Roman"/>
                      <w:b/>
                      <w:bCs/>
                      <w:sz w:val="21"/>
                      <w:szCs w:val="21"/>
                      <w:lang w:bidi="ar"/>
                    </w:rPr>
                    <w:t>投资</w:t>
                  </w:r>
                </w:p>
                <w:p>
                  <w:pPr>
                    <w:pStyle w:val="19"/>
                    <w:widowControl w:val="0"/>
                    <w:adjustRightInd w:val="0"/>
                    <w:snapToGrid w:val="0"/>
                    <w:spacing w:before="0" w:beforeAutospacing="0" w:after="0" w:afterAutospacing="0"/>
                    <w:jc w:val="center"/>
                    <w:textAlignment w:val="baseline"/>
                    <w:rPr>
                      <w:rFonts w:ascii="Times New Roman" w:hAnsi="Times New Roman"/>
                      <w:b/>
                      <w:bCs/>
                      <w:sz w:val="21"/>
                      <w:szCs w:val="21"/>
                    </w:rPr>
                  </w:pPr>
                  <w:r>
                    <w:rPr>
                      <w:rFonts w:ascii="Times New Roman" w:hAnsi="Times New Roman"/>
                      <w:b/>
                      <w:bCs/>
                      <w:sz w:val="21"/>
                      <w:szCs w:val="21"/>
                      <w:lang w:bidi="ar"/>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000" w:type="pct"/>
                  <w:gridSpan w:val="4"/>
                  <w:tcBorders>
                    <w:tl2br w:val="nil"/>
                    <w:tr2bl w:val="nil"/>
                  </w:tcBorders>
                  <w:shd w:val="clear" w:color="auto" w:fill="auto"/>
                  <w:vAlign w:val="center"/>
                </w:tcPr>
                <w:p>
                  <w:pPr>
                    <w:pStyle w:val="19"/>
                    <w:widowControl w:val="0"/>
                    <w:adjustRightInd w:val="0"/>
                    <w:snapToGrid w:val="0"/>
                    <w:spacing w:before="0" w:beforeAutospacing="0" w:after="0" w:afterAutospacing="0"/>
                    <w:jc w:val="center"/>
                    <w:textAlignment w:val="baseline"/>
                    <w:rPr>
                      <w:rFonts w:ascii="Times New Roman" w:hAnsi="Times New Roman"/>
                      <w:b/>
                      <w:bCs/>
                      <w:sz w:val="21"/>
                      <w:szCs w:val="21"/>
                      <w:lang w:bidi="ar"/>
                    </w:rPr>
                  </w:pPr>
                  <w:r>
                    <w:rPr>
                      <w:rFonts w:ascii="Times New Roman" w:hAnsi="Times New Roman"/>
                      <w:b/>
                      <w:bCs/>
                      <w:sz w:val="21"/>
                      <w:szCs w:val="21"/>
                      <w:lang w:bidi="ar"/>
                    </w:rPr>
                    <w:t>燃气管道建设项目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78" w:type="pct"/>
                  <w:vMerge w:val="restar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施工期</w:t>
                  </w: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大气防治</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设置施工围挡，施工场地、道路洒水，运输物料遮盖等</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78" w:type="pct"/>
                  <w:vMerge w:val="continue"/>
                  <w:tcBorders>
                    <w:tl2br w:val="nil"/>
                    <w:tr2bl w:val="nil"/>
                  </w:tcBorders>
                  <w:shd w:val="clear" w:color="auto" w:fill="auto"/>
                  <w:vAlign w:val="center"/>
                </w:tcPr>
                <w:p>
                  <w:pPr>
                    <w:rPr>
                      <w:sz w:val="21"/>
                      <w:szCs w:val="21"/>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水环境</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施工废水经沉淀池沉淀处理后循环使用、管道试压废水经；生活污水排放依托租用现有房屋排水设施</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78" w:type="pct"/>
                  <w:vMerge w:val="continue"/>
                  <w:tcBorders>
                    <w:tl2br w:val="nil"/>
                    <w:tr2bl w:val="nil"/>
                  </w:tcBorders>
                  <w:shd w:val="clear" w:color="auto" w:fill="auto"/>
                  <w:vAlign w:val="center"/>
                </w:tcPr>
                <w:p>
                  <w:pPr>
                    <w:rPr>
                      <w:sz w:val="21"/>
                      <w:szCs w:val="21"/>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噪声防治</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加强管理、优化施工方案、采用低噪声设备，避免噪声设备午间夜间施工等</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vMerge w:val="continue"/>
                  <w:tcBorders>
                    <w:tl2br w:val="nil"/>
                    <w:tr2bl w:val="nil"/>
                  </w:tcBorders>
                  <w:shd w:val="clear" w:color="auto" w:fill="auto"/>
                  <w:vAlign w:val="center"/>
                </w:tcPr>
                <w:p>
                  <w:pPr>
                    <w:rPr>
                      <w:sz w:val="21"/>
                      <w:szCs w:val="21"/>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固废</w:t>
                  </w:r>
                </w:p>
              </w:tc>
              <w:tc>
                <w:tcPr>
                  <w:tcW w:w="3493" w:type="pct"/>
                  <w:tcBorders>
                    <w:tl2br w:val="nil"/>
                    <w:tr2bl w:val="nil"/>
                  </w:tcBorders>
                  <w:shd w:val="clear" w:color="auto" w:fill="auto"/>
                  <w:vAlign w:val="center"/>
                </w:tcPr>
                <w:p>
                  <w:pPr>
                    <w:widowControl/>
                    <w:jc w:val="center"/>
                    <w:rPr>
                      <w:sz w:val="21"/>
                      <w:szCs w:val="21"/>
                    </w:rPr>
                  </w:pPr>
                  <w:r>
                    <w:rPr>
                      <w:sz w:val="21"/>
                      <w:szCs w:val="21"/>
                      <w:lang w:bidi="ar"/>
                    </w:rPr>
                    <w:t>施工期回填弃土用于沿线两侧或道路的绿化建设，同时进行整平，故不设置弃渣场</w:t>
                  </w:r>
                  <w:r>
                    <w:rPr>
                      <w:kern w:val="0"/>
                      <w:sz w:val="21"/>
                      <w:szCs w:val="21"/>
                      <w:lang w:bidi="ar"/>
                    </w:rPr>
                    <w:t>；建筑垃圾集中收集后送至环卫部门指定建筑垃圾填埋场处置</w:t>
                  </w:r>
                  <w:r>
                    <w:rPr>
                      <w:sz w:val="21"/>
                      <w:szCs w:val="21"/>
                      <w:lang w:bidi="ar"/>
                    </w:rPr>
                    <w:t>；施工期生活垃圾依托附近村庄现有设施。</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78" w:type="pct"/>
                  <w:vMerge w:val="continue"/>
                  <w:tcBorders>
                    <w:tl2br w:val="nil"/>
                    <w:tr2bl w:val="nil"/>
                  </w:tcBorders>
                  <w:shd w:val="clear" w:color="auto" w:fill="auto"/>
                  <w:vAlign w:val="center"/>
                </w:tcPr>
                <w:p>
                  <w:pPr>
                    <w:rPr>
                      <w:sz w:val="21"/>
                      <w:szCs w:val="21"/>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生态</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对临时占地进行土地平整后用原表土覆盖，土地平整后设置警示标志，如里程桩、转角桩、警示牌等，绿地部分撒播当地适生耐旱草种，撒播草籽时间可在春季。</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571" w:type="pct"/>
                  <w:gridSpan w:val="3"/>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燃气管道建设项目合计</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4"/>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b/>
                      <w:bCs/>
                      <w:sz w:val="21"/>
                      <w:szCs w:val="21"/>
                      <w:lang w:bidi="ar"/>
                    </w:rPr>
                    <w:t>航空货运区建设项目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8" w:type="pct"/>
                  <w:vMerge w:val="restar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运营期</w:t>
                  </w: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大气防治</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溴甲烷经多级活性炭吸附装置+15m排气筒；氨、硫化氢、臭气浓度、粉尘经布袋除尘器+生物滤池+15m排气筒；及时清理腐烂水果和生活垃圾</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8" w:type="pct"/>
                  <w:vMerge w:val="continue"/>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水环境</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污水接保税区内污水管网，排放至当地污水处理厂</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8" w:type="pct"/>
                  <w:vMerge w:val="continue"/>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噪声防治</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机械设备加装减震垫、厂界隔声、距离减噪</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8" w:type="pct"/>
                  <w:vMerge w:val="continue"/>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p>
              </w:tc>
              <w:tc>
                <w:tcPr>
                  <w:tcW w:w="800"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rPr>
                  </w:pPr>
                  <w:r>
                    <w:rPr>
                      <w:rFonts w:ascii="Times New Roman" w:hAnsi="Times New Roman"/>
                      <w:sz w:val="21"/>
                      <w:szCs w:val="21"/>
                      <w:lang w:bidi="ar"/>
                    </w:rPr>
                    <w:t>固废</w:t>
                  </w:r>
                </w:p>
              </w:tc>
              <w:tc>
                <w:tcPr>
                  <w:tcW w:w="3493"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废活性炭集中收集后暂存于危废暂存间（暂存间建设面积4m</w:t>
                  </w:r>
                  <w:r>
                    <w:rPr>
                      <w:rFonts w:ascii="Times New Roman" w:hAnsi="Times New Roman"/>
                      <w:sz w:val="21"/>
                      <w:szCs w:val="21"/>
                      <w:vertAlign w:val="superscript"/>
                      <w:lang w:bidi="ar"/>
                    </w:rPr>
                    <w:t>2</w:t>
                  </w:r>
                  <w:r>
                    <w:rPr>
                      <w:rFonts w:ascii="Times New Roman" w:hAnsi="Times New Roman"/>
                      <w:sz w:val="21"/>
                      <w:szCs w:val="21"/>
                      <w:lang w:bidi="ar"/>
                    </w:rPr>
                    <w:t>，位于项目区南侧），定期送往具有危废处置资质单位处理；废防疫装备交有资质的危险废物单位处理；废烂水果和生活垃圾集中收集后交由环卫部门处理项目区设置垃圾箱，生活垃圾集中收集至垃圾桶后，统一清运至环卫部门指定垃圾填埋场处理</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78" w:type="pct"/>
                  <w:vMerge w:val="continue"/>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p>
              </w:tc>
              <w:tc>
                <w:tcPr>
                  <w:tcW w:w="4293" w:type="pct"/>
                  <w:gridSpan w:val="2"/>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航空货运区建设项目合计</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571" w:type="pct"/>
                  <w:gridSpan w:val="3"/>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环保投资合计</w:t>
                  </w:r>
                </w:p>
              </w:tc>
              <w:tc>
                <w:tcPr>
                  <w:tcW w:w="428" w:type="pct"/>
                  <w:tcBorders>
                    <w:tl2br w:val="nil"/>
                    <w:tr2bl w:val="nil"/>
                  </w:tcBorders>
                  <w:shd w:val="clear" w:color="auto" w:fill="auto"/>
                  <w:vAlign w:val="center"/>
                </w:tcPr>
                <w:p>
                  <w:pPr>
                    <w:pStyle w:val="19"/>
                    <w:widowControl w:val="0"/>
                    <w:adjustRightInd w:val="0"/>
                    <w:snapToGrid w:val="0"/>
                    <w:spacing w:before="24" w:beforeLines="10" w:beforeAutospacing="0" w:after="24" w:afterLines="10" w:afterAutospacing="0"/>
                    <w:jc w:val="center"/>
                    <w:textAlignment w:val="baseline"/>
                    <w:rPr>
                      <w:rFonts w:ascii="Times New Roman" w:hAnsi="Times New Roman"/>
                      <w:sz w:val="21"/>
                      <w:szCs w:val="21"/>
                      <w:lang w:bidi="ar"/>
                    </w:rPr>
                  </w:pPr>
                  <w:r>
                    <w:rPr>
                      <w:rFonts w:ascii="Times New Roman" w:hAnsi="Times New Roman"/>
                      <w:sz w:val="21"/>
                      <w:szCs w:val="21"/>
                      <w:lang w:bidi="ar"/>
                    </w:rPr>
                    <w:t>167</w:t>
                  </w:r>
                </w:p>
              </w:tc>
            </w:tr>
          </w:tbl>
          <w:p>
            <w:pPr>
              <w:adjustRightInd w:val="0"/>
              <w:snapToGrid w:val="0"/>
              <w:spacing w:line="360" w:lineRule="auto"/>
              <w:rPr>
                <w:bCs/>
                <w:spacing w:val="10"/>
                <w:szCs w:val="21"/>
              </w:rPr>
            </w:pPr>
          </w:p>
        </w:tc>
      </w:tr>
    </w:tbl>
    <w:p>
      <w:pPr>
        <w:adjustRightInd w:val="0"/>
        <w:snapToGrid w:val="0"/>
        <w:sectPr>
          <w:pgSz w:w="11907" w:h="16840"/>
          <w:pgMar w:top="1440" w:right="1797" w:bottom="1440" w:left="1797" w:header="851" w:footer="1077" w:gutter="0"/>
          <w:cols w:space="720" w:num="1"/>
          <w:docGrid w:linePitch="312" w:charSpace="0"/>
        </w:sectPr>
      </w:pP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六、环境风险专项评价</w:t>
      </w:r>
    </w:p>
    <w:tbl>
      <w:tblPr>
        <w:tblStyle w:val="23"/>
        <w:tblW w:w="95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7"/>
        <w:gridCol w:w="91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8" w:hRule="atLeast"/>
          <w:jc w:val="center"/>
        </w:trPr>
        <w:tc>
          <w:tcPr>
            <w:tcW w:w="467" w:type="dxa"/>
            <w:tcMar>
              <w:left w:w="28" w:type="dxa"/>
              <w:right w:w="28" w:type="dxa"/>
            </w:tcMar>
            <w:vAlign w:val="center"/>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环境风险专项评价</w:t>
            </w:r>
          </w:p>
        </w:tc>
        <w:tc>
          <w:tcPr>
            <w:tcW w:w="9123" w:type="dxa"/>
          </w:tcPr>
          <w:p>
            <w:pPr>
              <w:spacing w:line="360" w:lineRule="auto"/>
              <w:ind w:firstLine="480" w:firstLineChars="200"/>
            </w:pPr>
            <w:r>
              <w:t>环境风险影响评价工作是针对建设项目在正常运行时，一旦出现意想不到类型事故后，是否会造成局部区域环境较大影响的事故。现根据事故的类型、影响环境范围的大小、后果大小、事故类型等因素进行分析，并加以在项目建设过程中采取相应的措施，或者在管理上加以完善。为了了解项目在运营过程中会产生的风险，根据《建设项目环境风险评价技术导则》（HJ169-2018）的相关要求对项目进行风险评价。</w:t>
            </w:r>
          </w:p>
          <w:p>
            <w:pPr>
              <w:widowControl/>
              <w:spacing w:line="360" w:lineRule="auto"/>
              <w:jc w:val="left"/>
              <w:rPr>
                <w:b/>
                <w:bCs/>
                <w:kern w:val="0"/>
                <w:lang w:bidi="ar"/>
              </w:rPr>
            </w:pPr>
            <w:r>
              <w:rPr>
                <w:b/>
                <w:bCs/>
                <w:kern w:val="0"/>
                <w:lang w:bidi="ar"/>
              </w:rPr>
              <w:t xml:space="preserve">1 </w:t>
            </w:r>
            <w:r>
              <w:rPr>
                <w:b/>
                <w:bCs/>
                <w:shd w:val="clear" w:color="auto" w:fill="FFFFFF"/>
              </w:rPr>
              <w:t>评价依据</w:t>
            </w:r>
          </w:p>
          <w:p>
            <w:pPr>
              <w:spacing w:line="360" w:lineRule="auto"/>
              <w:ind w:firstLine="482" w:firstLineChars="200"/>
              <w:rPr>
                <w:b/>
                <w:bCs/>
              </w:rPr>
            </w:pPr>
            <w:r>
              <w:rPr>
                <w:b/>
                <w:bCs/>
              </w:rPr>
              <w:t>（1）风险调查</w:t>
            </w:r>
          </w:p>
          <w:p>
            <w:pPr>
              <w:spacing w:line="360" w:lineRule="auto"/>
              <w:ind w:firstLine="480" w:firstLineChars="200"/>
            </w:pPr>
            <w:r>
              <w:t>本项目所涉及的危险物质为天然气，按照《石油天然气工程设计防火规范》（GB50183-2015）的有关规定，天然气的火灾危险性类别为甲B类。本项目主要风险物质为天然气，其理化性质、毒性及易燃易爆性质见下表。</w:t>
            </w:r>
          </w:p>
          <w:p>
            <w:pPr>
              <w:widowControl/>
              <w:ind w:firstLine="414" w:firstLineChars="200"/>
              <w:jc w:val="center"/>
              <w:rPr>
                <w:b/>
                <w:bCs/>
                <w:kern w:val="0"/>
                <w:sz w:val="21"/>
                <w:szCs w:val="21"/>
                <w:lang w:bidi="ar"/>
              </w:rPr>
            </w:pPr>
            <w:r>
              <w:rPr>
                <w:b/>
                <w:bCs/>
                <w:spacing w:val="-2"/>
                <w:sz w:val="21"/>
                <w:szCs w:val="21"/>
              </w:rPr>
              <w:t>表6.1-1        天然气的危险特性一览表</w:t>
            </w:r>
          </w:p>
          <w:tbl>
            <w:tblPr>
              <w:tblStyle w:val="45"/>
              <w:tblW w:w="9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60"/>
              <w:gridCol w:w="359"/>
              <w:gridCol w:w="407"/>
              <w:gridCol w:w="325"/>
              <w:gridCol w:w="901"/>
              <w:gridCol w:w="154"/>
              <w:gridCol w:w="792"/>
              <w:gridCol w:w="1071"/>
              <w:gridCol w:w="232"/>
              <w:gridCol w:w="142"/>
              <w:gridCol w:w="167"/>
              <w:gridCol w:w="428"/>
              <w:gridCol w:w="6"/>
              <w:gridCol w:w="87"/>
              <w:gridCol w:w="585"/>
              <w:gridCol w:w="596"/>
              <w:gridCol w:w="448"/>
              <w:gridCol w:w="1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4" w:type="pct"/>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物质名称</w:t>
                  </w:r>
                </w:p>
              </w:tc>
              <w:tc>
                <w:tcPr>
                  <w:tcW w:w="1614"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天然气</w:t>
                  </w:r>
                </w:p>
              </w:tc>
              <w:tc>
                <w:tcPr>
                  <w:tcW w:w="1127"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危规分类及编号</w:t>
                  </w:r>
                </w:p>
              </w:tc>
              <w:tc>
                <w:tcPr>
                  <w:tcW w:w="1559" w:type="pct"/>
                  <w:gridSpan w:val="5"/>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2.1类易燃气体，21007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物化特性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5"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沸点(℃)</w:t>
                  </w:r>
                </w:p>
              </w:tc>
              <w:tc>
                <w:tcPr>
                  <w:tcW w:w="10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-161.5</w:t>
                  </w:r>
                </w:p>
              </w:tc>
              <w:tc>
                <w:tcPr>
                  <w:tcW w:w="1126"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比重(水=1)</w:t>
                  </w:r>
                </w:p>
              </w:tc>
              <w:tc>
                <w:tcPr>
                  <w:tcW w:w="1560" w:type="pct"/>
                  <w:gridSpan w:val="5"/>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0.42(-164℃)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5"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饱和蒸气压(kPa)</w:t>
                  </w:r>
                </w:p>
              </w:tc>
              <w:tc>
                <w:tcPr>
                  <w:tcW w:w="10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53.32(-168.8℃)</w:t>
                  </w:r>
                </w:p>
              </w:tc>
              <w:tc>
                <w:tcPr>
                  <w:tcW w:w="1126"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熔点(C)</w:t>
                  </w:r>
                </w:p>
              </w:tc>
              <w:tc>
                <w:tcPr>
                  <w:tcW w:w="1560" w:type="pct"/>
                  <w:gridSpan w:val="5"/>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-182.5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5"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蒸气密度(空气=1)</w:t>
                  </w:r>
                </w:p>
              </w:tc>
              <w:tc>
                <w:tcPr>
                  <w:tcW w:w="10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0.55</w:t>
                  </w:r>
                </w:p>
              </w:tc>
              <w:tc>
                <w:tcPr>
                  <w:tcW w:w="1126"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溶解性</w:t>
                  </w:r>
                </w:p>
              </w:tc>
              <w:tc>
                <w:tcPr>
                  <w:tcW w:w="1560" w:type="pct"/>
                  <w:gridSpan w:val="5"/>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微溶于水，溶于醇、乙醚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5"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外观与气味</w:t>
                  </w:r>
                </w:p>
              </w:tc>
              <w:tc>
                <w:tcPr>
                  <w:tcW w:w="3704" w:type="pct"/>
                  <w:gridSpan w:val="1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无色无臭气体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8"/>
                  <w:vAlign w:val="center"/>
                </w:tcPr>
                <w:p>
                  <w:pPr>
                    <w:pStyle w:val="8"/>
                    <w:widowControl w:val="0"/>
                    <w:snapToGrid/>
                    <w:spacing w:before="0" w:after="0" w:line="240" w:lineRule="auto"/>
                    <w:ind w:right="0"/>
                    <w:jc w:val="center"/>
                    <w:rPr>
                      <w:kern w:val="21"/>
                      <w:sz w:val="21"/>
                      <w:szCs w:val="21"/>
                    </w:rPr>
                  </w:pPr>
                  <w:r>
                    <w:rPr>
                      <w:kern w:val="21"/>
                      <w:sz w:val="21"/>
                      <w:szCs w:val="21"/>
                    </w:rPr>
                    <w:t>火灾爆炸危险数据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闪点(℃)</w:t>
                  </w:r>
                </w:p>
              </w:tc>
              <w:tc>
                <w:tcPr>
                  <w:tcW w:w="1196"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-188</w:t>
                  </w:r>
                </w:p>
              </w:tc>
              <w:tc>
                <w:tcPr>
                  <w:tcW w:w="888"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爆炸极限</w:t>
                  </w:r>
                </w:p>
              </w:tc>
              <w:tc>
                <w:tcPr>
                  <w:tcW w:w="1798" w:type="pct"/>
                  <w:gridSpan w:val="7"/>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爆炸上限(%)15</w:t>
                  </w:r>
                </w:p>
                <w:p>
                  <w:pPr>
                    <w:pStyle w:val="46"/>
                    <w:jc w:val="center"/>
                    <w:rPr>
                      <w:rFonts w:ascii="Times New Roman" w:hAnsi="Times New Roman" w:eastAsia="宋体" w:cs="Times New Roman"/>
                      <w:kern w:val="21"/>
                    </w:rPr>
                  </w:pPr>
                  <w:r>
                    <w:rPr>
                      <w:rFonts w:ascii="Times New Roman" w:hAnsi="Times New Roman" w:eastAsia="宋体" w:cs="Times New Roman"/>
                      <w:kern w:val="21"/>
                    </w:rPr>
                    <w:t>爆炸下限(%)5.3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灭火剂</w:t>
                  </w:r>
                </w:p>
              </w:tc>
              <w:tc>
                <w:tcPr>
                  <w:tcW w:w="3883" w:type="pct"/>
                  <w:gridSpan w:val="15"/>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雾状水、泡沫、二氧化碳、干粉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灭火方法</w:t>
                  </w:r>
                </w:p>
              </w:tc>
              <w:tc>
                <w:tcPr>
                  <w:tcW w:w="3883" w:type="pct"/>
                  <w:gridSpan w:val="15"/>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切断气源。若不能立即切断气源，则不允许熄灭正在燃烧的气体。喷水冷却容器，可能的话将容器从火场移至空旷处。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危险特性</w:t>
                  </w:r>
                </w:p>
              </w:tc>
              <w:tc>
                <w:tcPr>
                  <w:tcW w:w="3883" w:type="pct"/>
                  <w:gridSpan w:val="15"/>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易燃，与空气混合能形成爆炸性混合物，遇热源和明火有燃烧爆炸的危险。与五氧化溴，氧气、次氯酸、三氟化氮、液氧、二氟化氧及其它强氧化剂接触剧烈反应。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8"/>
                  <w:vAlign w:val="center"/>
                </w:tcPr>
                <w:p>
                  <w:pPr>
                    <w:pStyle w:val="8"/>
                    <w:widowControl w:val="0"/>
                    <w:snapToGrid/>
                    <w:spacing w:before="0" w:after="0" w:line="240" w:lineRule="auto"/>
                    <w:ind w:right="0"/>
                    <w:jc w:val="center"/>
                    <w:rPr>
                      <w:kern w:val="21"/>
                      <w:sz w:val="21"/>
                      <w:szCs w:val="21"/>
                    </w:rPr>
                  </w:pPr>
                  <w:r>
                    <w:rPr>
                      <w:kern w:val="21"/>
                      <w:sz w:val="21"/>
                      <w:szCs w:val="21"/>
                    </w:rPr>
                    <w:t>反应活性数据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稳定性</w:t>
                  </w:r>
                </w:p>
              </w:tc>
              <w:tc>
                <w:tcPr>
                  <w:tcW w:w="760"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不稳定</w:t>
                  </w:r>
                </w:p>
              </w:tc>
              <w:tc>
                <w:tcPr>
                  <w:tcW w:w="435" w:type="pct"/>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w:t>
                  </w:r>
                </w:p>
              </w:tc>
              <w:tc>
                <w:tcPr>
                  <w:tcW w:w="79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稳定</w:t>
                  </w:r>
                </w:p>
              </w:tc>
              <w:tc>
                <w:tcPr>
                  <w:tcW w:w="327" w:type="pct"/>
                  <w:gridSpan w:val="2"/>
                  <w:vAlign w:val="center"/>
                </w:tcPr>
                <w:p>
                  <w:pPr>
                    <w:jc w:val="center"/>
                    <w:rPr>
                      <w:kern w:val="21"/>
                      <w:sz w:val="21"/>
                      <w:szCs w:val="21"/>
                    </w:rPr>
                  </w:pPr>
                </w:p>
              </w:tc>
              <w:tc>
                <w:tcPr>
                  <w:tcW w:w="701"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避免条件</w:t>
                  </w:r>
                </w:p>
              </w:tc>
              <w:tc>
                <w:tcPr>
                  <w:tcW w:w="861" w:type="pct"/>
                  <w:gridSpan w:val="2"/>
                  <w:vAlign w:val="center"/>
                </w:tcPr>
                <w:p>
                  <w:pPr>
                    <w:jc w:val="center"/>
                    <w:rPr>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聚合危险性</w:t>
                  </w:r>
                </w:p>
              </w:tc>
              <w:tc>
                <w:tcPr>
                  <w:tcW w:w="760"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可能存在</w:t>
                  </w:r>
                </w:p>
              </w:tc>
              <w:tc>
                <w:tcPr>
                  <w:tcW w:w="435" w:type="pct"/>
                  <w:vAlign w:val="center"/>
                </w:tcPr>
                <w:p>
                  <w:pPr>
                    <w:jc w:val="center"/>
                    <w:rPr>
                      <w:kern w:val="21"/>
                      <w:sz w:val="21"/>
                      <w:szCs w:val="21"/>
                    </w:rPr>
                  </w:pPr>
                </w:p>
              </w:tc>
              <w:tc>
                <w:tcPr>
                  <w:tcW w:w="796"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不存在</w:t>
                  </w:r>
                </w:p>
              </w:tc>
              <w:tc>
                <w:tcPr>
                  <w:tcW w:w="327" w:type="pct"/>
                  <w:gridSpan w:val="2"/>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w:t>
                  </w:r>
                </w:p>
              </w:tc>
              <w:tc>
                <w:tcPr>
                  <w:tcW w:w="701"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避免条件</w:t>
                  </w:r>
                </w:p>
              </w:tc>
              <w:tc>
                <w:tcPr>
                  <w:tcW w:w="861" w:type="pct"/>
                  <w:gridSpan w:val="2"/>
                  <w:vAlign w:val="center"/>
                </w:tcPr>
                <w:p>
                  <w:pPr>
                    <w:jc w:val="center"/>
                    <w:rPr>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禁忌物</w:t>
                  </w:r>
                </w:p>
              </w:tc>
              <w:tc>
                <w:tcPr>
                  <w:tcW w:w="1196"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强氧化剂、氟、氯</w:t>
                  </w:r>
                </w:p>
              </w:tc>
              <w:tc>
                <w:tcPr>
                  <w:tcW w:w="1124" w:type="pct"/>
                  <w:gridSpan w:val="5"/>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燃烧(分解)产物</w:t>
                  </w:r>
                </w:p>
              </w:tc>
              <w:tc>
                <w:tcPr>
                  <w:tcW w:w="1563"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水、一氧化碳、二氧化碳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健康危害数据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侵入途径</w:t>
                  </w:r>
                </w:p>
              </w:tc>
              <w:tc>
                <w:tcPr>
                  <w:tcW w:w="675"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吸入</w:t>
                  </w:r>
                </w:p>
              </w:tc>
              <w:tc>
                <w:tcPr>
                  <w:tcW w:w="520"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w:t>
                  </w:r>
                </w:p>
              </w:tc>
              <w:tc>
                <w:tcPr>
                  <w:tcW w:w="718"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皮肤</w:t>
                  </w:r>
                </w:p>
              </w:tc>
              <w:tc>
                <w:tcPr>
                  <w:tcW w:w="779" w:type="pct"/>
                  <w:gridSpan w:val="6"/>
                  <w:vAlign w:val="center"/>
                </w:tcPr>
                <w:p>
                  <w:pPr>
                    <w:jc w:val="center"/>
                    <w:rPr>
                      <w:kern w:val="21"/>
                      <w:sz w:val="21"/>
                      <w:szCs w:val="21"/>
                    </w:rPr>
                  </w:pPr>
                </w:p>
              </w:tc>
              <w:tc>
                <w:tcPr>
                  <w:tcW w:w="575"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口</w:t>
                  </w:r>
                </w:p>
              </w:tc>
              <w:tc>
                <w:tcPr>
                  <w:tcW w:w="614" w:type="pct"/>
                  <w:vAlign w:val="center"/>
                </w:tcPr>
                <w:p>
                  <w:pPr>
                    <w:jc w:val="center"/>
                    <w:rPr>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12"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急性毒性</w:t>
                  </w:r>
                </w:p>
              </w:tc>
              <w:tc>
                <w:tcPr>
                  <w:tcW w:w="675"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LDso</w:t>
                  </w:r>
                </w:p>
              </w:tc>
              <w:tc>
                <w:tcPr>
                  <w:tcW w:w="1239"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无资料</w:t>
                  </w:r>
                </w:p>
              </w:tc>
              <w:tc>
                <w:tcPr>
                  <w:tcW w:w="779"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LCso</w:t>
                  </w:r>
                </w:p>
              </w:tc>
              <w:tc>
                <w:tcPr>
                  <w:tcW w:w="1189" w:type="pct"/>
                  <w:gridSpan w:val="3"/>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健康危害(急性和慢性)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天然气对人基本无毒，但浓度过高时，使空气中氧含量明显降低，使人窒息。当空气中甲烷达25％～30％时，可引起头痛、头晕、乏力、注意力不集中、呼吸和心跳加速。若不及时脱离，可致窒息死亡。皮肤接触液化本品，可致冻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泄漏紧急处理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996" w:type="pct"/>
                  <w:gridSpan w:val="18"/>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防护措施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2"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车间卫生标准</w:t>
                  </w:r>
                </w:p>
              </w:tc>
              <w:tc>
                <w:tcPr>
                  <w:tcW w:w="2010"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前苏联MAC(mg/m³)300</w:t>
                  </w:r>
                </w:p>
              </w:tc>
              <w:tc>
                <w:tcPr>
                  <w:tcW w:w="585"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工程控制</w:t>
                  </w:r>
                </w:p>
              </w:tc>
              <w:tc>
                <w:tcPr>
                  <w:tcW w:w="1507" w:type="pct"/>
                  <w:gridSpan w:val="4"/>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生产过程密闭，全面通风。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2"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呼吸系统防护</w:t>
                  </w:r>
                </w:p>
              </w:tc>
              <w:tc>
                <w:tcPr>
                  <w:tcW w:w="2010" w:type="pct"/>
                  <w:gridSpan w:val="6"/>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一般不需要特殊防护，但建议特殊情况下，佩戴自吸过滤式防毒面具(半面罩)。</w:t>
                  </w:r>
                </w:p>
              </w:tc>
              <w:tc>
                <w:tcPr>
                  <w:tcW w:w="585"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眼防护</w:t>
                  </w:r>
                </w:p>
              </w:tc>
              <w:tc>
                <w:tcPr>
                  <w:tcW w:w="1507" w:type="pct"/>
                  <w:gridSpan w:val="4"/>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一般不需要特殊防护，高浓</w:t>
                  </w:r>
                </w:p>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度接触时可戴安全防护眼镜。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2"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手防护</w:t>
                  </w:r>
                </w:p>
              </w:tc>
              <w:tc>
                <w:tcPr>
                  <w:tcW w:w="2010" w:type="pct"/>
                  <w:gridSpan w:val="6"/>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戴一般作业防护手套。</w:t>
                  </w:r>
                </w:p>
              </w:tc>
              <w:tc>
                <w:tcPr>
                  <w:tcW w:w="585" w:type="pct"/>
                  <w:gridSpan w:val="6"/>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身体防护</w:t>
                  </w:r>
                </w:p>
              </w:tc>
              <w:tc>
                <w:tcPr>
                  <w:tcW w:w="1507" w:type="pct"/>
                  <w:gridSpan w:val="4"/>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穿防静电工作服。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2" w:type="pct"/>
                  <w:gridSpan w:val="2"/>
                  <w:vAlign w:val="center"/>
                </w:tcPr>
                <w:p>
                  <w:pPr>
                    <w:pStyle w:val="46"/>
                    <w:jc w:val="center"/>
                    <w:rPr>
                      <w:rFonts w:ascii="Times New Roman" w:hAnsi="Times New Roman" w:eastAsia="宋体" w:cs="Times New Roman"/>
                      <w:kern w:val="21"/>
                    </w:rPr>
                  </w:pPr>
                  <w:r>
                    <w:rPr>
                      <w:rFonts w:ascii="Times New Roman" w:hAnsi="Times New Roman" w:eastAsia="宋体" w:cs="Times New Roman"/>
                      <w:kern w:val="21"/>
                    </w:rPr>
                    <w:t>其它</w:t>
                  </w:r>
                </w:p>
              </w:tc>
              <w:tc>
                <w:tcPr>
                  <w:tcW w:w="4103" w:type="pct"/>
                  <w:gridSpan w:val="16"/>
                  <w:vAlign w:val="center"/>
                </w:tcPr>
                <w:p>
                  <w:pPr>
                    <w:pStyle w:val="46"/>
                    <w:jc w:val="center"/>
                    <w:rPr>
                      <w:rFonts w:ascii="Times New Roman" w:hAnsi="Times New Roman" w:eastAsia="宋体" w:cs="Times New Roman"/>
                      <w:kern w:val="21"/>
                      <w:lang w:eastAsia="zh-CN"/>
                    </w:rPr>
                  </w:pPr>
                  <w:r>
                    <w:rPr>
                      <w:rFonts w:ascii="Times New Roman" w:hAnsi="Times New Roman" w:eastAsia="宋体" w:cs="Times New Roman"/>
                      <w:kern w:val="21"/>
                      <w:lang w:eastAsia="zh-CN"/>
                    </w:rPr>
                    <w:t>工作现场严禁吸烟。避免长期反复接触。进入罐、限制性空间或其它高浓度区作业，须有人监护。</w:t>
                  </w:r>
                </w:p>
              </w:tc>
            </w:tr>
          </w:tbl>
          <w:p>
            <w:pPr>
              <w:widowControl/>
              <w:spacing w:line="360" w:lineRule="auto"/>
              <w:ind w:firstLine="480" w:firstLineChars="200"/>
              <w:jc w:val="left"/>
              <w:rPr>
                <w:kern w:val="0"/>
                <w:lang w:bidi="ar"/>
              </w:rPr>
            </w:pPr>
            <w:r>
              <w:rPr>
                <w:kern w:val="0"/>
                <w:lang w:bidi="ar"/>
              </w:rPr>
              <w:t>由表6.1-1可以看出，拟建工程输送介质为天然气，具有易燃性、易爆性、低毒性、热膨胀性、易扩散性。天然气的泄漏不仅会影响管道的正常输送，还会污染周围的环境,甚至使人窒息中毒，更为严重的是增加了火灾爆炸的危险。当管道系统密封不严时，天然气极易发生泄漏，并可随风四处扩散，遇到明火极易引起火灾或爆炸。</w:t>
            </w:r>
          </w:p>
          <w:p>
            <w:pPr>
              <w:spacing w:line="360" w:lineRule="auto"/>
              <w:ind w:firstLine="482" w:firstLineChars="200"/>
              <w:rPr>
                <w:b/>
                <w:bCs/>
                <w:kern w:val="0"/>
                <w:lang w:bidi="ar"/>
              </w:rPr>
            </w:pPr>
            <w:r>
              <w:rPr>
                <w:b/>
                <w:bCs/>
                <w:kern w:val="0"/>
                <w:lang w:bidi="ar"/>
              </w:rPr>
              <w:t>（2） 环境风险潜势初判</w:t>
            </w:r>
          </w:p>
          <w:p>
            <w:pPr>
              <w:spacing w:line="360" w:lineRule="auto"/>
              <w:ind w:firstLine="480" w:firstLineChars="200"/>
            </w:pPr>
            <w:r>
              <w:t>①评价等级划分</w:t>
            </w:r>
          </w:p>
          <w:p>
            <w:pPr>
              <w:spacing w:line="360" w:lineRule="auto"/>
              <w:ind w:firstLine="480" w:firstLineChars="200"/>
            </w:pPr>
            <w:r>
              <w:t>根据《建设项目环境风险评价技术导则》（HJ 169-2018）4.3的规定，评价工作等级划分依据详见表6-1。</w:t>
            </w:r>
          </w:p>
          <w:p>
            <w:pPr>
              <w:spacing w:line="360" w:lineRule="auto"/>
              <w:ind w:firstLine="480" w:firstLineChars="200"/>
            </w:pPr>
            <w:r>
              <w:t>建设项目环境风险潜势划分为Ⅰ、Ⅱ、Ⅲ、Ⅳ/Ⅳ</w:t>
            </w:r>
            <w:r>
              <w:rPr>
                <w:vertAlign w:val="superscript"/>
              </w:rPr>
              <w:t>+</w:t>
            </w:r>
            <w:r>
              <w:t>级。风险潜势为Ⅳ及以上，进行一级评价；风险潜势为Ⅲ，进行二级评价；风险潜势为Ⅱ，进行三级评价；风险潜势为Ⅰ，可开展简单分析。</w:t>
            </w:r>
          </w:p>
          <w:p>
            <w:pPr>
              <w:pStyle w:val="54"/>
              <w:adjustRightInd/>
              <w:snapToGrid/>
              <w:rPr>
                <w:color w:val="auto"/>
              </w:rPr>
            </w:pPr>
            <w:r>
              <w:rPr>
                <w:color w:val="auto"/>
                <w:sz w:val="21"/>
                <w:szCs w:val="21"/>
              </w:rPr>
              <w:t>表6.2-1     评价工作等级划分</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5"/>
              <w:gridCol w:w="1483"/>
              <w:gridCol w:w="1971"/>
              <w:gridCol w:w="2247"/>
              <w:gridCol w:w="17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828" w:type="pct"/>
                  <w:vAlign w:val="center"/>
                </w:tcPr>
                <w:p>
                  <w:pPr>
                    <w:adjustRightInd w:val="0"/>
                    <w:snapToGrid w:val="0"/>
                    <w:spacing w:line="320" w:lineRule="exact"/>
                    <w:jc w:val="center"/>
                    <w:rPr>
                      <w:sz w:val="21"/>
                      <w:szCs w:val="21"/>
                    </w:rPr>
                  </w:pPr>
                  <w:r>
                    <w:rPr>
                      <w:sz w:val="21"/>
                      <w:szCs w:val="21"/>
                    </w:rPr>
                    <w:t>环境风险潜势</w:t>
                  </w:r>
                </w:p>
              </w:tc>
              <w:tc>
                <w:tcPr>
                  <w:tcW w:w="833" w:type="pct"/>
                  <w:vAlign w:val="center"/>
                </w:tcPr>
                <w:p>
                  <w:pPr>
                    <w:adjustRightInd w:val="0"/>
                    <w:snapToGrid w:val="0"/>
                    <w:spacing w:line="320" w:lineRule="exact"/>
                    <w:jc w:val="center"/>
                    <w:rPr>
                      <w:sz w:val="21"/>
                      <w:szCs w:val="21"/>
                      <w:vertAlign w:val="superscript"/>
                    </w:rPr>
                  </w:pPr>
                  <w:r>
                    <w:rPr>
                      <w:sz w:val="21"/>
                      <w:szCs w:val="21"/>
                    </w:rPr>
                    <w:t>Ⅳ、Ⅳ</w:t>
                  </w:r>
                  <w:r>
                    <w:rPr>
                      <w:sz w:val="21"/>
                      <w:szCs w:val="21"/>
                      <w:vertAlign w:val="superscript"/>
                    </w:rPr>
                    <w:t>+</w:t>
                  </w:r>
                </w:p>
              </w:tc>
              <w:tc>
                <w:tcPr>
                  <w:tcW w:w="1107" w:type="pct"/>
                  <w:vAlign w:val="center"/>
                </w:tcPr>
                <w:p>
                  <w:pPr>
                    <w:adjustRightInd w:val="0"/>
                    <w:snapToGrid w:val="0"/>
                    <w:spacing w:line="320" w:lineRule="exact"/>
                    <w:jc w:val="center"/>
                    <w:rPr>
                      <w:sz w:val="21"/>
                      <w:szCs w:val="21"/>
                    </w:rPr>
                  </w:pPr>
                  <w:r>
                    <w:rPr>
                      <w:sz w:val="21"/>
                      <w:szCs w:val="21"/>
                    </w:rPr>
                    <w:t>Ⅲ</w:t>
                  </w:r>
                </w:p>
              </w:tc>
              <w:tc>
                <w:tcPr>
                  <w:tcW w:w="1262" w:type="pct"/>
                  <w:vAlign w:val="center"/>
                </w:tcPr>
                <w:p>
                  <w:pPr>
                    <w:adjustRightInd w:val="0"/>
                    <w:snapToGrid w:val="0"/>
                    <w:spacing w:line="320" w:lineRule="exact"/>
                    <w:jc w:val="center"/>
                    <w:rPr>
                      <w:sz w:val="21"/>
                      <w:szCs w:val="21"/>
                    </w:rPr>
                  </w:pPr>
                  <w:r>
                    <w:rPr>
                      <w:sz w:val="21"/>
                      <w:szCs w:val="21"/>
                    </w:rPr>
                    <w:t>Ⅱ</w:t>
                  </w:r>
                </w:p>
              </w:tc>
              <w:tc>
                <w:tcPr>
                  <w:tcW w:w="967" w:type="pct"/>
                  <w:vAlign w:val="center"/>
                </w:tcPr>
                <w:p>
                  <w:pPr>
                    <w:adjustRightInd w:val="0"/>
                    <w:snapToGrid w:val="0"/>
                    <w:spacing w:line="320" w:lineRule="exact"/>
                    <w:jc w:val="center"/>
                    <w:rPr>
                      <w:sz w:val="21"/>
                      <w:szCs w:val="21"/>
                    </w:rPr>
                  </w:pPr>
                  <w:r>
                    <w:rPr>
                      <w:sz w:val="21"/>
                      <w:szCs w:val="21"/>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828" w:type="pct"/>
                  <w:vAlign w:val="center"/>
                </w:tcPr>
                <w:p>
                  <w:pPr>
                    <w:adjustRightInd w:val="0"/>
                    <w:snapToGrid w:val="0"/>
                    <w:spacing w:line="320" w:lineRule="exact"/>
                    <w:jc w:val="center"/>
                    <w:rPr>
                      <w:sz w:val="21"/>
                      <w:szCs w:val="21"/>
                    </w:rPr>
                  </w:pPr>
                  <w:r>
                    <w:rPr>
                      <w:sz w:val="21"/>
                      <w:szCs w:val="21"/>
                    </w:rPr>
                    <w:t>评价工作等级</w:t>
                  </w:r>
                </w:p>
              </w:tc>
              <w:tc>
                <w:tcPr>
                  <w:tcW w:w="833" w:type="pct"/>
                  <w:vAlign w:val="center"/>
                </w:tcPr>
                <w:p>
                  <w:pPr>
                    <w:adjustRightInd w:val="0"/>
                    <w:snapToGrid w:val="0"/>
                    <w:spacing w:line="320" w:lineRule="exact"/>
                    <w:jc w:val="center"/>
                    <w:rPr>
                      <w:sz w:val="21"/>
                      <w:szCs w:val="21"/>
                    </w:rPr>
                  </w:pPr>
                  <w:r>
                    <w:rPr>
                      <w:sz w:val="21"/>
                      <w:szCs w:val="21"/>
                    </w:rPr>
                    <w:t>一</w:t>
                  </w:r>
                </w:p>
              </w:tc>
              <w:tc>
                <w:tcPr>
                  <w:tcW w:w="1107" w:type="pct"/>
                  <w:vAlign w:val="center"/>
                </w:tcPr>
                <w:p>
                  <w:pPr>
                    <w:adjustRightInd w:val="0"/>
                    <w:snapToGrid w:val="0"/>
                    <w:spacing w:line="320" w:lineRule="exact"/>
                    <w:jc w:val="center"/>
                    <w:rPr>
                      <w:sz w:val="21"/>
                      <w:szCs w:val="21"/>
                    </w:rPr>
                  </w:pPr>
                  <w:r>
                    <w:rPr>
                      <w:sz w:val="21"/>
                      <w:szCs w:val="21"/>
                    </w:rPr>
                    <w:t>二</w:t>
                  </w:r>
                </w:p>
              </w:tc>
              <w:tc>
                <w:tcPr>
                  <w:tcW w:w="1262" w:type="pct"/>
                  <w:vAlign w:val="center"/>
                </w:tcPr>
                <w:p>
                  <w:pPr>
                    <w:adjustRightInd w:val="0"/>
                    <w:snapToGrid w:val="0"/>
                    <w:spacing w:line="320" w:lineRule="exact"/>
                    <w:jc w:val="center"/>
                    <w:rPr>
                      <w:sz w:val="21"/>
                      <w:szCs w:val="21"/>
                    </w:rPr>
                  </w:pPr>
                  <w:r>
                    <w:rPr>
                      <w:sz w:val="21"/>
                      <w:szCs w:val="21"/>
                    </w:rPr>
                    <w:t>三</w:t>
                  </w:r>
                </w:p>
              </w:tc>
              <w:tc>
                <w:tcPr>
                  <w:tcW w:w="967" w:type="pct"/>
                  <w:vAlign w:val="center"/>
                </w:tcPr>
                <w:p>
                  <w:pPr>
                    <w:adjustRightInd w:val="0"/>
                    <w:snapToGrid w:val="0"/>
                    <w:spacing w:line="320" w:lineRule="exact"/>
                    <w:jc w:val="center"/>
                    <w:rPr>
                      <w:sz w:val="21"/>
                      <w:szCs w:val="21"/>
                      <w:vertAlign w:val="superscript"/>
                    </w:rPr>
                  </w:pPr>
                  <w:r>
                    <w:rPr>
                      <w:sz w:val="21"/>
                      <w:szCs w:val="21"/>
                    </w:rPr>
                    <w:t>简单分析</w:t>
                  </w:r>
                  <w:r>
                    <w:rPr>
                      <w:sz w:val="21"/>
                      <w:szCs w:val="21"/>
                      <w:vertAlign w:val="superscript"/>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0" w:hRule="atLeast"/>
                <w:jc w:val="center"/>
              </w:trPr>
              <w:tc>
                <w:tcPr>
                  <w:tcW w:w="5000" w:type="pct"/>
                  <w:gridSpan w:val="5"/>
                  <w:vAlign w:val="center"/>
                </w:tcPr>
                <w:p>
                  <w:pPr>
                    <w:adjustRightInd w:val="0"/>
                    <w:snapToGrid w:val="0"/>
                    <w:spacing w:line="320" w:lineRule="exact"/>
                    <w:rPr>
                      <w:sz w:val="21"/>
                      <w:szCs w:val="21"/>
                    </w:rPr>
                  </w:pPr>
                  <w:r>
                    <w:rPr>
                      <w:sz w:val="21"/>
                      <w:szCs w:val="21"/>
                    </w:rPr>
                    <w:t>a 是相对于详细评价工作内容而言，在描述危险物质、环境影响途径、环境危害后果、风险防范措施等方面给出定性的说明。见附录A</w:t>
                  </w:r>
                </w:p>
              </w:tc>
            </w:tr>
          </w:tbl>
          <w:p>
            <w:pPr>
              <w:spacing w:line="360" w:lineRule="auto"/>
              <w:ind w:firstLine="482"/>
            </w:pPr>
            <w:r>
              <w:t>②风险潜势划分</w:t>
            </w:r>
          </w:p>
          <w:p>
            <w:pPr>
              <w:snapToGrid w:val="0"/>
              <w:spacing w:line="360" w:lineRule="auto"/>
              <w:ind w:firstLine="482"/>
            </w:pPr>
            <w:r>
              <w:t>根据建设项目涉及的物质和工艺系统的危险性及其所在地环境敏感程度，结合事故情形下环境影响途径，对建设项目潜在环境危害程度进行概化分析，按表6.2-2确定环境风险潜势。</w:t>
            </w:r>
          </w:p>
          <w:p>
            <w:pPr>
              <w:pStyle w:val="54"/>
              <w:adjustRightInd/>
              <w:snapToGrid/>
              <w:rPr>
                <w:color w:val="auto"/>
                <w:sz w:val="21"/>
                <w:szCs w:val="21"/>
              </w:rPr>
            </w:pPr>
            <w:r>
              <w:rPr>
                <w:color w:val="auto"/>
                <w:sz w:val="21"/>
                <w:szCs w:val="21"/>
              </w:rPr>
              <w:t>表6.2-2       建设项目环境风险潜势划分</w:t>
            </w:r>
          </w:p>
          <w:tbl>
            <w:tblPr>
              <w:tblStyle w:val="23"/>
              <w:tblW w:w="90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14"/>
              <w:gridCol w:w="1841"/>
              <w:gridCol w:w="1700"/>
              <w:gridCol w:w="1700"/>
              <w:gridCol w:w="16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0" w:type="pct"/>
                  <w:vMerge w:val="restart"/>
                  <w:vAlign w:val="center"/>
                </w:tcPr>
                <w:p>
                  <w:pPr>
                    <w:adjustRightInd w:val="0"/>
                    <w:snapToGrid w:val="0"/>
                    <w:spacing w:line="320" w:lineRule="exact"/>
                    <w:jc w:val="center"/>
                    <w:rPr>
                      <w:sz w:val="21"/>
                      <w:szCs w:val="21"/>
                    </w:rPr>
                  </w:pPr>
                  <w:r>
                    <w:rPr>
                      <w:sz w:val="21"/>
                      <w:szCs w:val="21"/>
                    </w:rPr>
                    <w:t>环境敏感程度（E）</w:t>
                  </w:r>
                </w:p>
              </w:tc>
              <w:tc>
                <w:tcPr>
                  <w:tcW w:w="3779" w:type="pct"/>
                  <w:gridSpan w:val="4"/>
                  <w:vAlign w:val="center"/>
                </w:tcPr>
                <w:p>
                  <w:pPr>
                    <w:adjustRightInd w:val="0"/>
                    <w:snapToGrid w:val="0"/>
                    <w:spacing w:line="320" w:lineRule="exact"/>
                    <w:jc w:val="center"/>
                    <w:rPr>
                      <w:sz w:val="21"/>
                      <w:szCs w:val="21"/>
                    </w:rPr>
                  </w:pPr>
                  <w:r>
                    <w:rPr>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0" w:type="pct"/>
                  <w:vMerge w:val="continue"/>
                  <w:vAlign w:val="center"/>
                </w:tcPr>
                <w:p>
                  <w:pPr>
                    <w:adjustRightInd w:val="0"/>
                    <w:snapToGrid w:val="0"/>
                    <w:spacing w:line="320" w:lineRule="exact"/>
                    <w:jc w:val="center"/>
                    <w:rPr>
                      <w:sz w:val="21"/>
                      <w:szCs w:val="21"/>
                    </w:rPr>
                  </w:pPr>
                </w:p>
              </w:tc>
              <w:tc>
                <w:tcPr>
                  <w:tcW w:w="1015" w:type="pct"/>
                  <w:vAlign w:val="center"/>
                </w:tcPr>
                <w:p>
                  <w:pPr>
                    <w:adjustRightInd w:val="0"/>
                    <w:snapToGrid w:val="0"/>
                    <w:spacing w:line="320" w:lineRule="exact"/>
                    <w:jc w:val="center"/>
                    <w:rPr>
                      <w:sz w:val="21"/>
                      <w:szCs w:val="21"/>
                    </w:rPr>
                  </w:pPr>
                  <w:r>
                    <w:rPr>
                      <w:sz w:val="21"/>
                      <w:szCs w:val="21"/>
                    </w:rPr>
                    <w:t>极高危害（P1）</w:t>
                  </w:r>
                </w:p>
              </w:tc>
              <w:tc>
                <w:tcPr>
                  <w:tcW w:w="937" w:type="pct"/>
                  <w:vAlign w:val="center"/>
                </w:tcPr>
                <w:p>
                  <w:pPr>
                    <w:adjustRightInd w:val="0"/>
                    <w:snapToGrid w:val="0"/>
                    <w:spacing w:line="320" w:lineRule="exact"/>
                    <w:jc w:val="center"/>
                    <w:rPr>
                      <w:sz w:val="21"/>
                      <w:szCs w:val="21"/>
                    </w:rPr>
                  </w:pPr>
                  <w:r>
                    <w:rPr>
                      <w:sz w:val="21"/>
                      <w:szCs w:val="21"/>
                    </w:rPr>
                    <w:t>高度危害（P2）</w:t>
                  </w:r>
                </w:p>
              </w:tc>
              <w:tc>
                <w:tcPr>
                  <w:tcW w:w="937" w:type="pct"/>
                  <w:vAlign w:val="center"/>
                </w:tcPr>
                <w:p>
                  <w:pPr>
                    <w:adjustRightInd w:val="0"/>
                    <w:snapToGrid w:val="0"/>
                    <w:spacing w:line="320" w:lineRule="exact"/>
                    <w:jc w:val="center"/>
                    <w:rPr>
                      <w:sz w:val="21"/>
                      <w:szCs w:val="21"/>
                    </w:rPr>
                  </w:pPr>
                  <w:r>
                    <w:rPr>
                      <w:sz w:val="21"/>
                      <w:szCs w:val="21"/>
                    </w:rPr>
                    <w:t>中度危害（P3）</w:t>
                  </w:r>
                </w:p>
              </w:tc>
              <w:tc>
                <w:tcPr>
                  <w:tcW w:w="889" w:type="pct"/>
                  <w:vAlign w:val="center"/>
                </w:tcPr>
                <w:p>
                  <w:pPr>
                    <w:adjustRightInd w:val="0"/>
                    <w:snapToGrid w:val="0"/>
                    <w:spacing w:line="320" w:lineRule="exact"/>
                    <w:jc w:val="center"/>
                    <w:rPr>
                      <w:sz w:val="21"/>
                      <w:szCs w:val="21"/>
                    </w:rPr>
                  </w:pPr>
                  <w:r>
                    <w:rPr>
                      <w:sz w:val="21"/>
                      <w:szCs w:val="21"/>
                    </w:rPr>
                    <w:t>轻度危害（P4）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0" w:type="pct"/>
                  <w:vAlign w:val="center"/>
                </w:tcPr>
                <w:p>
                  <w:pPr>
                    <w:adjustRightInd w:val="0"/>
                    <w:snapToGrid w:val="0"/>
                    <w:spacing w:line="320" w:lineRule="exact"/>
                    <w:jc w:val="center"/>
                    <w:rPr>
                      <w:sz w:val="21"/>
                      <w:szCs w:val="21"/>
                    </w:rPr>
                  </w:pPr>
                  <w:r>
                    <w:rPr>
                      <w:sz w:val="21"/>
                      <w:szCs w:val="21"/>
                    </w:rPr>
                    <w:t>环境高度敏感区（E1）</w:t>
                  </w:r>
                </w:p>
              </w:tc>
              <w:tc>
                <w:tcPr>
                  <w:tcW w:w="1015" w:type="pct"/>
                  <w:vAlign w:val="center"/>
                </w:tcPr>
                <w:p>
                  <w:pPr>
                    <w:adjustRightInd w:val="0"/>
                    <w:snapToGrid w:val="0"/>
                    <w:spacing w:line="320" w:lineRule="exact"/>
                    <w:jc w:val="center"/>
                    <w:rPr>
                      <w:sz w:val="21"/>
                      <w:szCs w:val="21"/>
                    </w:rPr>
                  </w:pPr>
                  <w:r>
                    <w:rPr>
                      <w:sz w:val="21"/>
                      <w:szCs w:val="21"/>
                    </w:rPr>
                    <w:t>Ⅳ</w:t>
                  </w:r>
                  <w:r>
                    <w:rPr>
                      <w:sz w:val="21"/>
                      <w:szCs w:val="21"/>
                      <w:vertAlign w:val="superscript"/>
                    </w:rPr>
                    <w:t>+</w:t>
                  </w:r>
                </w:p>
              </w:tc>
              <w:tc>
                <w:tcPr>
                  <w:tcW w:w="937" w:type="pct"/>
                  <w:vAlign w:val="center"/>
                </w:tcPr>
                <w:p>
                  <w:pPr>
                    <w:adjustRightInd w:val="0"/>
                    <w:snapToGrid w:val="0"/>
                    <w:spacing w:line="320" w:lineRule="exact"/>
                    <w:jc w:val="center"/>
                    <w:rPr>
                      <w:sz w:val="21"/>
                      <w:szCs w:val="21"/>
                    </w:rPr>
                  </w:pPr>
                  <w:r>
                    <w:rPr>
                      <w:sz w:val="21"/>
                      <w:szCs w:val="21"/>
                    </w:rPr>
                    <w:t>Ⅳ</w:t>
                  </w:r>
                </w:p>
              </w:tc>
              <w:tc>
                <w:tcPr>
                  <w:tcW w:w="937" w:type="pct"/>
                  <w:vAlign w:val="center"/>
                </w:tcPr>
                <w:p>
                  <w:pPr>
                    <w:adjustRightInd w:val="0"/>
                    <w:snapToGrid w:val="0"/>
                    <w:spacing w:line="320" w:lineRule="exact"/>
                    <w:jc w:val="center"/>
                    <w:rPr>
                      <w:sz w:val="21"/>
                      <w:szCs w:val="21"/>
                    </w:rPr>
                  </w:pPr>
                  <w:r>
                    <w:rPr>
                      <w:sz w:val="21"/>
                      <w:szCs w:val="21"/>
                    </w:rPr>
                    <w:t>Ⅲ</w:t>
                  </w:r>
                </w:p>
              </w:tc>
              <w:tc>
                <w:tcPr>
                  <w:tcW w:w="889" w:type="pct"/>
                  <w:vAlign w:val="center"/>
                </w:tcPr>
                <w:p>
                  <w:pPr>
                    <w:adjustRightInd w:val="0"/>
                    <w:snapToGrid w:val="0"/>
                    <w:spacing w:line="320" w:lineRule="exact"/>
                    <w:jc w:val="center"/>
                    <w:rPr>
                      <w:sz w:val="21"/>
                      <w:szCs w:val="21"/>
                    </w:rPr>
                  </w:pPr>
                  <w:r>
                    <w:rPr>
                      <w:sz w:val="21"/>
                      <w:szCs w:val="21"/>
                    </w:rPr>
                    <w:t>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0" w:type="pct"/>
                  <w:vAlign w:val="center"/>
                </w:tcPr>
                <w:p>
                  <w:pPr>
                    <w:adjustRightInd w:val="0"/>
                    <w:snapToGrid w:val="0"/>
                    <w:spacing w:line="320" w:lineRule="exact"/>
                    <w:jc w:val="center"/>
                    <w:rPr>
                      <w:sz w:val="21"/>
                      <w:szCs w:val="21"/>
                    </w:rPr>
                  </w:pPr>
                  <w:r>
                    <w:rPr>
                      <w:sz w:val="21"/>
                      <w:szCs w:val="21"/>
                    </w:rPr>
                    <w:t>环境中度敏感区（E2）</w:t>
                  </w:r>
                </w:p>
              </w:tc>
              <w:tc>
                <w:tcPr>
                  <w:tcW w:w="1015" w:type="pct"/>
                  <w:vAlign w:val="center"/>
                </w:tcPr>
                <w:p>
                  <w:pPr>
                    <w:adjustRightInd w:val="0"/>
                    <w:snapToGrid w:val="0"/>
                    <w:spacing w:line="320" w:lineRule="exact"/>
                    <w:jc w:val="center"/>
                    <w:rPr>
                      <w:sz w:val="21"/>
                      <w:szCs w:val="21"/>
                    </w:rPr>
                  </w:pPr>
                  <w:r>
                    <w:rPr>
                      <w:sz w:val="21"/>
                      <w:szCs w:val="21"/>
                    </w:rPr>
                    <w:t>Ⅳ</w:t>
                  </w:r>
                </w:p>
              </w:tc>
              <w:tc>
                <w:tcPr>
                  <w:tcW w:w="937" w:type="pct"/>
                  <w:vAlign w:val="center"/>
                </w:tcPr>
                <w:p>
                  <w:pPr>
                    <w:adjustRightInd w:val="0"/>
                    <w:snapToGrid w:val="0"/>
                    <w:spacing w:line="320" w:lineRule="exact"/>
                    <w:jc w:val="center"/>
                    <w:rPr>
                      <w:sz w:val="21"/>
                      <w:szCs w:val="21"/>
                    </w:rPr>
                  </w:pPr>
                  <w:r>
                    <w:rPr>
                      <w:sz w:val="21"/>
                      <w:szCs w:val="21"/>
                    </w:rPr>
                    <w:t>Ⅲ</w:t>
                  </w:r>
                </w:p>
              </w:tc>
              <w:tc>
                <w:tcPr>
                  <w:tcW w:w="937" w:type="pct"/>
                  <w:vAlign w:val="center"/>
                </w:tcPr>
                <w:p>
                  <w:pPr>
                    <w:adjustRightInd w:val="0"/>
                    <w:snapToGrid w:val="0"/>
                    <w:spacing w:line="320" w:lineRule="exact"/>
                    <w:jc w:val="center"/>
                    <w:rPr>
                      <w:sz w:val="21"/>
                      <w:szCs w:val="21"/>
                    </w:rPr>
                  </w:pPr>
                  <w:r>
                    <w:rPr>
                      <w:sz w:val="21"/>
                      <w:szCs w:val="21"/>
                    </w:rPr>
                    <w:t>Ⅲ</w:t>
                  </w:r>
                </w:p>
              </w:tc>
              <w:tc>
                <w:tcPr>
                  <w:tcW w:w="889" w:type="pct"/>
                  <w:vAlign w:val="center"/>
                </w:tcPr>
                <w:p>
                  <w:pPr>
                    <w:adjustRightInd w:val="0"/>
                    <w:snapToGrid w:val="0"/>
                    <w:spacing w:line="320" w:lineRule="exact"/>
                    <w:jc w:val="center"/>
                    <w:rPr>
                      <w:sz w:val="21"/>
                      <w:szCs w:val="21"/>
                    </w:rPr>
                  </w:pPr>
                  <w:r>
                    <w:rPr>
                      <w:sz w:val="21"/>
                      <w:szCs w:val="21"/>
                    </w:rPr>
                    <w:t>Ⅱ</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20" w:type="pct"/>
                  <w:vAlign w:val="center"/>
                </w:tcPr>
                <w:p>
                  <w:pPr>
                    <w:adjustRightInd w:val="0"/>
                    <w:snapToGrid w:val="0"/>
                    <w:spacing w:line="320" w:lineRule="exact"/>
                    <w:jc w:val="center"/>
                    <w:rPr>
                      <w:sz w:val="21"/>
                      <w:szCs w:val="21"/>
                    </w:rPr>
                  </w:pPr>
                  <w:r>
                    <w:rPr>
                      <w:sz w:val="21"/>
                      <w:szCs w:val="21"/>
                    </w:rPr>
                    <w:t>环境低度敏感区（E3）</w:t>
                  </w:r>
                </w:p>
              </w:tc>
              <w:tc>
                <w:tcPr>
                  <w:tcW w:w="1015" w:type="pct"/>
                  <w:vAlign w:val="center"/>
                </w:tcPr>
                <w:p>
                  <w:pPr>
                    <w:adjustRightInd w:val="0"/>
                    <w:snapToGrid w:val="0"/>
                    <w:spacing w:line="320" w:lineRule="exact"/>
                    <w:jc w:val="center"/>
                    <w:rPr>
                      <w:sz w:val="21"/>
                      <w:szCs w:val="21"/>
                    </w:rPr>
                  </w:pPr>
                  <w:r>
                    <w:rPr>
                      <w:sz w:val="21"/>
                      <w:szCs w:val="21"/>
                    </w:rPr>
                    <w:t>Ⅲ</w:t>
                  </w:r>
                </w:p>
              </w:tc>
              <w:tc>
                <w:tcPr>
                  <w:tcW w:w="937" w:type="pct"/>
                  <w:vAlign w:val="center"/>
                </w:tcPr>
                <w:p>
                  <w:pPr>
                    <w:adjustRightInd w:val="0"/>
                    <w:snapToGrid w:val="0"/>
                    <w:spacing w:line="320" w:lineRule="exact"/>
                    <w:jc w:val="center"/>
                    <w:rPr>
                      <w:sz w:val="21"/>
                      <w:szCs w:val="21"/>
                    </w:rPr>
                  </w:pPr>
                  <w:r>
                    <w:rPr>
                      <w:sz w:val="21"/>
                      <w:szCs w:val="21"/>
                    </w:rPr>
                    <w:t>Ⅲ</w:t>
                  </w:r>
                </w:p>
              </w:tc>
              <w:tc>
                <w:tcPr>
                  <w:tcW w:w="937" w:type="pct"/>
                  <w:vAlign w:val="center"/>
                </w:tcPr>
                <w:p>
                  <w:pPr>
                    <w:adjustRightInd w:val="0"/>
                    <w:snapToGrid w:val="0"/>
                    <w:spacing w:line="320" w:lineRule="exact"/>
                    <w:jc w:val="center"/>
                    <w:rPr>
                      <w:sz w:val="21"/>
                      <w:szCs w:val="21"/>
                    </w:rPr>
                  </w:pPr>
                  <w:r>
                    <w:rPr>
                      <w:sz w:val="21"/>
                      <w:szCs w:val="21"/>
                    </w:rPr>
                    <w:t>Ⅱ</w:t>
                  </w:r>
                </w:p>
              </w:tc>
              <w:tc>
                <w:tcPr>
                  <w:tcW w:w="889" w:type="pct"/>
                  <w:vAlign w:val="center"/>
                </w:tcPr>
                <w:p>
                  <w:pPr>
                    <w:adjustRightInd w:val="0"/>
                    <w:snapToGrid w:val="0"/>
                    <w:spacing w:line="320" w:lineRule="exact"/>
                    <w:jc w:val="center"/>
                    <w:rPr>
                      <w:sz w:val="21"/>
                      <w:szCs w:val="21"/>
                    </w:rPr>
                  </w:pPr>
                  <w:r>
                    <w:rPr>
                      <w:sz w:val="21"/>
                      <w:szCs w:val="21"/>
                    </w:rPr>
                    <w:t>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5"/>
                </w:tcPr>
                <w:p>
                  <w:pPr>
                    <w:adjustRightInd w:val="0"/>
                    <w:snapToGrid w:val="0"/>
                    <w:spacing w:line="320" w:lineRule="exact"/>
                    <w:rPr>
                      <w:sz w:val="21"/>
                      <w:szCs w:val="21"/>
                    </w:rPr>
                  </w:pPr>
                  <w:r>
                    <w:rPr>
                      <w:sz w:val="21"/>
                      <w:szCs w:val="21"/>
                    </w:rPr>
                    <w:t>注：Ⅳ</w:t>
                  </w:r>
                  <w:r>
                    <w:rPr>
                      <w:sz w:val="21"/>
                      <w:szCs w:val="21"/>
                      <w:vertAlign w:val="superscript"/>
                    </w:rPr>
                    <w:t>+</w:t>
                  </w:r>
                  <w:r>
                    <w:rPr>
                      <w:sz w:val="21"/>
                      <w:szCs w:val="21"/>
                    </w:rPr>
                    <w:t>为极高环境风险</w:t>
                  </w:r>
                </w:p>
              </w:tc>
            </w:tr>
          </w:tbl>
          <w:p>
            <w:pPr>
              <w:spacing w:line="360" w:lineRule="auto"/>
              <w:ind w:firstLine="482"/>
            </w:pPr>
            <w:r>
              <w:t>③危险物质数量与临界量比值（Q）</w:t>
            </w:r>
          </w:p>
          <w:p>
            <w:pPr>
              <w:spacing w:line="360" w:lineRule="auto"/>
              <w:ind w:firstLine="482"/>
            </w:pPr>
            <w: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spacing w:line="360" w:lineRule="auto"/>
              <w:ind w:firstLine="482"/>
            </w:pPr>
            <w:r>
              <w:t>当只涉及一种危险物质时，计算该物质的总量与其临界量比值，即为Q；</w:t>
            </w:r>
          </w:p>
          <w:p>
            <w:pPr>
              <w:spacing w:line="360" w:lineRule="auto"/>
              <w:ind w:firstLine="482"/>
            </w:pPr>
            <w:r>
              <w:t>当存在多种危险物质时，则按下式计算物质总量与其临界量比值Q：</w:t>
            </w:r>
          </w:p>
          <w:p>
            <w:pPr>
              <w:spacing w:line="360" w:lineRule="auto"/>
              <w:ind w:firstLine="482"/>
              <w:jc w:val="center"/>
            </w:pPr>
            <w:r>
              <w:t>Q=q</w:t>
            </w:r>
            <w:r>
              <w:rPr>
                <w:vertAlign w:val="subscript"/>
              </w:rPr>
              <w:t>1</w:t>
            </w:r>
            <w:r>
              <w:t>/Q</w:t>
            </w:r>
            <w:r>
              <w:rPr>
                <w:vertAlign w:val="subscript"/>
              </w:rPr>
              <w:t>1</w:t>
            </w:r>
            <w:r>
              <w:t>+q</w:t>
            </w:r>
            <w:r>
              <w:rPr>
                <w:vertAlign w:val="subscript"/>
              </w:rPr>
              <w:t>2</w:t>
            </w:r>
            <w:r>
              <w:t>/Q</w:t>
            </w:r>
            <w:r>
              <w:rPr>
                <w:vertAlign w:val="subscript"/>
              </w:rPr>
              <w:t>2</w:t>
            </w:r>
            <w:r>
              <w:t>+···q</w:t>
            </w:r>
            <w:r>
              <w:rPr>
                <w:vertAlign w:val="subscript"/>
              </w:rPr>
              <w:t>n</w:t>
            </w:r>
            <w:r>
              <w:t>/Q</w:t>
            </w:r>
            <w:r>
              <w:rPr>
                <w:vertAlign w:val="subscript"/>
              </w:rPr>
              <w:t>n</w:t>
            </w:r>
          </w:p>
          <w:p>
            <w:pPr>
              <w:spacing w:line="360" w:lineRule="auto"/>
              <w:ind w:firstLine="482"/>
            </w:pPr>
            <w:r>
              <w:t>式中：q</w:t>
            </w:r>
            <w:r>
              <w:rPr>
                <w:vertAlign w:val="subscript"/>
              </w:rPr>
              <w:t>1</w:t>
            </w:r>
            <w:r>
              <w:t>，q</w:t>
            </w:r>
            <w:r>
              <w:rPr>
                <w:vertAlign w:val="subscript"/>
              </w:rPr>
              <w:t>2</w:t>
            </w:r>
            <w:r>
              <w:t>，···，q</w:t>
            </w:r>
            <w:r>
              <w:rPr>
                <w:vertAlign w:val="subscript"/>
              </w:rPr>
              <w:t>n</w:t>
            </w:r>
            <w:r>
              <w:t>—每种物质的最大存在总量，t；</w:t>
            </w:r>
          </w:p>
          <w:p>
            <w:pPr>
              <w:spacing w:line="360" w:lineRule="auto"/>
              <w:ind w:firstLine="1200" w:firstLineChars="500"/>
            </w:pPr>
            <w:r>
              <w:t>Q</w:t>
            </w:r>
            <w:r>
              <w:rPr>
                <w:vertAlign w:val="subscript"/>
              </w:rPr>
              <w:t>1</w:t>
            </w:r>
            <w:r>
              <w:t>，Q</w:t>
            </w:r>
            <w:r>
              <w:rPr>
                <w:vertAlign w:val="subscript"/>
              </w:rPr>
              <w:t>2</w:t>
            </w:r>
            <w:r>
              <w:t>-每种危险物质的临界量，t；</w:t>
            </w:r>
          </w:p>
          <w:p>
            <w:pPr>
              <w:spacing w:line="360" w:lineRule="auto"/>
              <w:ind w:firstLine="482"/>
            </w:pPr>
            <w:r>
              <w:t xml:space="preserve">      </w:t>
            </w:r>
            <w:r>
              <w:rPr>
                <w:shd w:val="clear" w:color="auto" w:fill="D7D7D7" w:themeFill="background1" w:themeFillShade="D8"/>
              </w:rPr>
              <w:t>当Q＜1时，该项目环境风险潜势为Ⅰ。</w:t>
            </w:r>
          </w:p>
          <w:p>
            <w:pPr>
              <w:spacing w:line="360" w:lineRule="auto"/>
              <w:ind w:firstLine="1191"/>
            </w:pPr>
            <w:r>
              <w:t>当Q≥1时，将Q值划分为：1＜Q＜10；10＜Q＜100；Q≥100。</w:t>
            </w:r>
          </w:p>
          <w:p>
            <w:pPr>
              <w:spacing w:line="360" w:lineRule="auto"/>
              <w:ind w:firstLine="476"/>
            </w:pPr>
            <w:r>
              <w:t>本项目的环境风险物质为天然气（主要为甲烷）。本次以整个管线天然气的量。《建设项目环境风险评价技术导则》（HJ 169-2018）</w:t>
            </w:r>
            <w:r>
              <w:rPr>
                <w:lang w:bidi="ar"/>
              </w:rPr>
              <w:t>附录B中</w:t>
            </w:r>
            <w:r>
              <w:t>甲烷临界量为10t。本项目管道压力为4mpa，该压力下天然气的密度为25.819~28.6kg/m</w:t>
            </w:r>
            <w:r>
              <w:rPr>
                <w:vertAlign w:val="superscript"/>
              </w:rPr>
              <w:t>3</w:t>
            </w:r>
            <w:r>
              <w:t>，本次以最大密度计算出Q=1.862/10=0.1862＜1。</w:t>
            </w:r>
          </w:p>
          <w:p>
            <w:pPr>
              <w:spacing w:line="360" w:lineRule="auto"/>
              <w:ind w:firstLine="482"/>
            </w:pPr>
            <w:r>
              <w:t>④评价等级</w:t>
            </w:r>
          </w:p>
          <w:p>
            <w:pPr>
              <w:spacing w:line="360" w:lineRule="auto"/>
              <w:ind w:firstLine="476"/>
            </w:pPr>
            <w:r>
              <w:t>根据附录C的危险物质及工艺系统危险性(P)分级中相关表述：“当Q＜1时，该项目环境风险潜势为Ⅰ”。</w:t>
            </w:r>
            <w:r>
              <w:rPr>
                <w:lang w:bidi="ar"/>
              </w:rPr>
              <w:t>确定本项目环境风险潜势为Ⅰ。评价等级确定为简单分析。</w:t>
            </w:r>
          </w:p>
          <w:p>
            <w:pPr>
              <w:spacing w:line="360" w:lineRule="auto"/>
              <w:rPr>
                <w:b/>
                <w:bCs/>
                <w:lang w:bidi="ar"/>
              </w:rPr>
            </w:pPr>
            <w:r>
              <w:rPr>
                <w:b/>
                <w:bCs/>
                <w:lang w:bidi="ar"/>
              </w:rPr>
              <w:t>2环境敏感目标概况</w:t>
            </w:r>
          </w:p>
          <w:p>
            <w:pPr>
              <w:spacing w:line="360" w:lineRule="auto"/>
              <w:ind w:firstLine="480" w:firstLineChars="200"/>
              <w:rPr>
                <w:lang w:bidi="ar"/>
              </w:rPr>
            </w:pPr>
            <w:r>
              <w:rPr>
                <w:lang w:bidi="ar"/>
              </w:rPr>
              <w:t>本项目管线沿线经过综合保税区外围的北侧和东侧，项目的环境敏感目标为距离最近的居民区为东侧780m处沙普艾热克村一组，以及东侧80m的麦兰孜渠。</w:t>
            </w:r>
          </w:p>
          <w:p>
            <w:pPr>
              <w:spacing w:line="360" w:lineRule="auto"/>
              <w:rPr>
                <w:b/>
                <w:bCs/>
                <w:lang w:bidi="ar"/>
              </w:rPr>
            </w:pPr>
            <w:r>
              <w:rPr>
                <w:b/>
                <w:bCs/>
                <w:lang w:bidi="ar"/>
              </w:rPr>
              <w:t>3</w:t>
            </w:r>
            <w:r>
              <w:rPr>
                <w:b/>
                <w:bCs/>
                <w:shd w:val="clear" w:color="auto" w:fill="FFFFFF"/>
              </w:rPr>
              <w:t>环境风险识别</w:t>
            </w:r>
          </w:p>
          <w:p>
            <w:pPr>
              <w:spacing w:line="500" w:lineRule="exact"/>
              <w:ind w:firstLine="480" w:firstLineChars="200"/>
              <w:rPr>
                <w:rFonts w:eastAsiaTheme="minorEastAsia"/>
              </w:rPr>
            </w:pPr>
            <w:r>
              <w:rPr>
                <w:rFonts w:eastAsiaTheme="minorEastAsia"/>
              </w:rPr>
              <w:t>（1）理化性质风险识别</w:t>
            </w:r>
          </w:p>
          <w:p>
            <w:pPr>
              <w:spacing w:line="500" w:lineRule="exact"/>
              <w:ind w:firstLine="480" w:firstLineChars="200"/>
            </w:pPr>
            <w:r>
              <w:rPr>
                <w:rFonts w:eastAsiaTheme="minorEastAsia"/>
              </w:rPr>
              <w:t>根据项目涉及的物质的理化性质，项目建设的管线运输的天然气属于</w:t>
            </w:r>
            <w:r>
              <w:t>易燃、易爆</w:t>
            </w:r>
            <w:r>
              <w:rPr>
                <w:rFonts w:eastAsiaTheme="minorEastAsia"/>
              </w:rPr>
              <w:t>的气态</w:t>
            </w:r>
            <w:r>
              <w:rPr>
                <w:rFonts w:hint="eastAsia" w:eastAsiaTheme="minorEastAsia"/>
                <w:lang w:eastAsia="zh-CN"/>
              </w:rPr>
              <w:t>物质</w:t>
            </w:r>
            <w:r>
              <w:rPr>
                <w:rFonts w:eastAsiaTheme="minorEastAsia"/>
              </w:rPr>
              <w:t>。</w:t>
            </w:r>
            <w:r>
              <w:t>一旦发生火灾或者爆炸，不完全燃烧可能产生CO等二次污染物。</w:t>
            </w:r>
          </w:p>
          <w:p>
            <w:pPr>
              <w:spacing w:line="500" w:lineRule="exact"/>
              <w:ind w:firstLine="480" w:firstLineChars="200"/>
              <w:rPr>
                <w:rFonts w:eastAsiaTheme="minorEastAsia"/>
              </w:rPr>
            </w:pPr>
            <w:r>
              <w:rPr>
                <w:rFonts w:eastAsiaTheme="minorEastAsia"/>
              </w:rPr>
              <w:t>（2）生产设施风险识别</w:t>
            </w:r>
          </w:p>
          <w:p>
            <w:pPr>
              <w:spacing w:line="500" w:lineRule="exact"/>
              <w:ind w:firstLine="480" w:firstLineChars="200"/>
              <w:rPr>
                <w:rFonts w:eastAsiaTheme="minorEastAsia"/>
              </w:rPr>
            </w:pPr>
            <w:r>
              <w:rPr>
                <w:rFonts w:eastAsiaTheme="minorEastAsia"/>
              </w:rPr>
              <w:t>本项目生产设施风险识别范围包括：管道沿线、阀井。</w:t>
            </w:r>
          </w:p>
          <w:p>
            <w:pPr>
              <w:spacing w:line="500" w:lineRule="exact"/>
              <w:ind w:firstLine="480" w:firstLineChars="200"/>
              <w:rPr>
                <w:rFonts w:eastAsiaTheme="minorEastAsia"/>
              </w:rPr>
            </w:pPr>
            <w:r>
              <w:rPr>
                <w:rFonts w:eastAsiaTheme="minorEastAsia"/>
              </w:rPr>
              <w:t>（3）风险单元的识别</w:t>
            </w:r>
          </w:p>
          <w:p>
            <w:pPr>
              <w:spacing w:line="360" w:lineRule="auto"/>
              <w:ind w:firstLine="480" w:firstLineChars="200"/>
              <w:rPr>
                <w:rFonts w:eastAsiaTheme="minorEastAsia"/>
              </w:rPr>
            </w:pPr>
            <w:r>
              <w:rPr>
                <w:rFonts w:eastAsiaTheme="minorEastAsia"/>
              </w:rPr>
              <w:t>项目建成后运营过程中设备管道、弯曲连接、阀门等均有可能导致物质的释放与</w:t>
            </w:r>
            <w:r>
              <w:rPr>
                <w:rFonts w:hint="eastAsia" w:eastAsiaTheme="minorEastAsia"/>
                <w:lang w:eastAsia="zh-CN"/>
              </w:rPr>
              <w:t>泄漏</w:t>
            </w:r>
            <w:r>
              <w:rPr>
                <w:rFonts w:eastAsiaTheme="minorEastAsia"/>
              </w:rPr>
              <w:t>，发生毒害或火灾爆炸事故。</w:t>
            </w:r>
          </w:p>
          <w:p>
            <w:pPr>
              <w:spacing w:line="360" w:lineRule="auto"/>
              <w:ind w:firstLine="480" w:firstLineChars="200"/>
              <w:rPr>
                <w:rFonts w:eastAsiaTheme="minorEastAsia"/>
              </w:rPr>
            </w:pPr>
            <w:r>
              <w:rPr>
                <w:rFonts w:eastAsiaTheme="minorEastAsia"/>
              </w:rPr>
              <w:t>根据本工程生产工艺特点，其生产过程中可能产生的主要职业危害因素有：</w:t>
            </w:r>
          </w:p>
          <w:p>
            <w:pPr>
              <w:spacing w:line="360" w:lineRule="auto"/>
              <w:ind w:firstLine="480" w:firstLineChars="200"/>
              <w:rPr>
                <w:rFonts w:eastAsiaTheme="minorEastAsia"/>
              </w:rPr>
            </w:pPr>
            <w:r>
              <w:rPr>
                <w:rFonts w:eastAsiaTheme="minorEastAsia"/>
              </w:rPr>
              <w:t>a、火灾爆炸：天然气危险特性若遇高热，管道内压增大，有开裂和爆炸的危险。在此过程中，如遇到气体泄漏，管道破裂、阀门泄漏等现象，同样会产生火灾、爆炸。</w:t>
            </w:r>
          </w:p>
          <w:p>
            <w:pPr>
              <w:spacing w:line="360" w:lineRule="auto"/>
              <w:ind w:firstLine="480" w:firstLineChars="200"/>
              <w:rPr>
                <w:rFonts w:eastAsiaTheme="minorEastAsia"/>
              </w:rPr>
            </w:pPr>
            <w:r>
              <w:rPr>
                <w:rFonts w:eastAsiaTheme="minorEastAsia"/>
              </w:rPr>
              <w:t>b、管道周边施工：管道沿线进行其他设施建设，涉及土方开挖，不慎接触到天然气管道，造成天然气的泄</w:t>
            </w:r>
            <w:r>
              <w:rPr>
                <w:rFonts w:hint="eastAsia" w:eastAsiaTheme="minorEastAsia"/>
                <w:lang w:eastAsia="zh-CN"/>
              </w:rPr>
              <w:t>漏</w:t>
            </w:r>
            <w:r>
              <w:rPr>
                <w:rFonts w:eastAsiaTheme="minorEastAsia"/>
              </w:rPr>
              <w:t>，如遇火源，导致燃烧甚至爆炸。</w:t>
            </w:r>
          </w:p>
          <w:p>
            <w:pPr>
              <w:widowControl/>
              <w:spacing w:line="360" w:lineRule="auto"/>
              <w:ind w:firstLine="480" w:firstLineChars="200"/>
              <w:jc w:val="left"/>
              <w:rPr>
                <w:b/>
                <w:bCs/>
                <w:kern w:val="0"/>
                <w:lang w:bidi="ar"/>
              </w:rPr>
            </w:pPr>
            <w:r>
              <w:rPr>
                <w:rFonts w:eastAsiaTheme="minorEastAsia"/>
              </w:rPr>
              <w:t>风险类型：爆炸、泄漏等。</w:t>
            </w:r>
          </w:p>
          <w:p>
            <w:pPr>
              <w:widowControl/>
              <w:spacing w:line="360" w:lineRule="auto"/>
              <w:jc w:val="left"/>
              <w:rPr>
                <w:b/>
                <w:bCs/>
                <w:kern w:val="0"/>
                <w:lang w:bidi="ar"/>
              </w:rPr>
            </w:pPr>
            <w:r>
              <w:rPr>
                <w:b/>
                <w:bCs/>
                <w:kern w:val="0"/>
                <w:lang w:bidi="ar"/>
              </w:rPr>
              <w:t>4</w:t>
            </w:r>
            <w:r>
              <w:rPr>
                <w:b/>
                <w:bCs/>
                <w:shd w:val="clear" w:color="auto" w:fill="FFFFFF"/>
              </w:rPr>
              <w:t>环境风险分析</w:t>
            </w:r>
          </w:p>
          <w:p>
            <w:pPr>
              <w:widowControl/>
              <w:spacing w:line="360" w:lineRule="auto"/>
              <w:ind w:firstLine="480" w:firstLineChars="200"/>
              <w:jc w:val="left"/>
              <w:rPr>
                <w:kern w:val="24"/>
              </w:rPr>
            </w:pPr>
            <w:r>
              <w:rPr>
                <w:kern w:val="24"/>
                <w:lang w:bidi="ar"/>
              </w:rPr>
              <w:t>天然气泄漏环境风险分析</w:t>
            </w:r>
          </w:p>
          <w:p>
            <w:pPr>
              <w:widowControl/>
              <w:spacing w:line="360" w:lineRule="auto"/>
              <w:ind w:firstLine="480" w:firstLineChars="200"/>
              <w:jc w:val="left"/>
              <w:rPr>
                <w:kern w:val="24"/>
              </w:rPr>
            </w:pPr>
            <w:r>
              <w:rPr>
                <w:kern w:val="24"/>
                <w:lang w:bidi="ar"/>
              </w:rPr>
              <w:t>①泄漏天然气对人群健康危</w:t>
            </w:r>
            <w:r>
              <w:rPr>
                <w:rFonts w:hint="eastAsia"/>
                <w:kern w:val="24"/>
                <w:lang w:eastAsia="zh-CN" w:bidi="ar"/>
              </w:rPr>
              <w:t>害的</w:t>
            </w:r>
            <w:r>
              <w:rPr>
                <w:kern w:val="24"/>
                <w:lang w:bidi="ar"/>
              </w:rPr>
              <w:t>影响</w:t>
            </w:r>
          </w:p>
          <w:p>
            <w:pPr>
              <w:widowControl/>
              <w:spacing w:line="360" w:lineRule="auto"/>
              <w:ind w:firstLine="480" w:firstLineChars="200"/>
              <w:jc w:val="left"/>
              <w:rPr>
                <w:kern w:val="24"/>
              </w:rPr>
            </w:pPr>
            <w:r>
              <w:rPr>
                <w:kern w:val="24"/>
                <w:lang w:bidi="ar"/>
              </w:rPr>
              <w:t>事故泄漏天然气中主要成分为甲烷，甲烷的密度比空气的密度小，稀释扩散很快，随着距泄漏点距离的增加，甲烷浓度下降非常快，泄漏点泄漏的甲烷对环境、人和动物造成的影响是局部的，经分析事故状态下，不会造成人员窒息现象。企业天然气集气管道、场站设备及连接管道均设有自动阀门，若遇泄漏，系统会自动启动关闭阀门，自阀门关闭到管道内气体泄漏完毕，最多历时10min，天然气泄漏量极少。综上分析，泄漏的天然气对环境影响较小。</w:t>
            </w:r>
          </w:p>
          <w:p>
            <w:pPr>
              <w:widowControl/>
              <w:spacing w:line="360" w:lineRule="auto"/>
              <w:ind w:firstLine="480" w:firstLineChars="200"/>
              <w:jc w:val="left"/>
              <w:rPr>
                <w:kern w:val="24"/>
              </w:rPr>
            </w:pPr>
            <w:r>
              <w:rPr>
                <w:kern w:val="24"/>
                <w:lang w:bidi="ar"/>
              </w:rPr>
              <w:t>为了减小对周围居民的影响，在对群众进行宣传的过程中，应告知：在闻到天然气味时，应迅速转移至远离事故泄漏点的地方并及时报告。</w:t>
            </w:r>
          </w:p>
          <w:p>
            <w:pPr>
              <w:widowControl/>
              <w:spacing w:line="360" w:lineRule="auto"/>
              <w:ind w:firstLine="480" w:firstLineChars="200"/>
              <w:jc w:val="left"/>
              <w:rPr>
                <w:kern w:val="24"/>
              </w:rPr>
            </w:pPr>
            <w:r>
              <w:rPr>
                <w:kern w:val="24"/>
                <w:lang w:bidi="ar"/>
              </w:rPr>
              <w:t>②对生态系统的影响</w:t>
            </w:r>
          </w:p>
          <w:p>
            <w:pPr>
              <w:widowControl/>
              <w:spacing w:line="360" w:lineRule="auto"/>
              <w:ind w:firstLine="480" w:firstLineChars="200"/>
              <w:jc w:val="left"/>
              <w:rPr>
                <w:kern w:val="24"/>
              </w:rPr>
            </w:pPr>
            <w:r>
              <w:rPr>
                <w:kern w:val="24"/>
                <w:lang w:bidi="ar"/>
              </w:rPr>
              <w:t>如果发生事故，泄漏天然气可能引发火灾，造成生态系统的严重破坏，甚至是彻底性的毁灭。事故发生后，生态系统采用人工植树种草进行重建，再加上生物演替过程，草本层2~3年即可恢复，灌木层3~5年方可恢复，乔木层则需要长达10~15年才能恢复。</w:t>
            </w:r>
          </w:p>
          <w:p>
            <w:pPr>
              <w:widowControl/>
              <w:spacing w:line="360" w:lineRule="auto"/>
              <w:ind w:firstLine="480" w:firstLineChars="200"/>
              <w:jc w:val="left"/>
              <w:rPr>
                <w:kern w:val="24"/>
              </w:rPr>
            </w:pPr>
            <w:r>
              <w:rPr>
                <w:kern w:val="24"/>
                <w:lang w:bidi="ar"/>
              </w:rPr>
              <w:t>③火灾或爆炸事故次生污染物对环境的影响</w:t>
            </w:r>
          </w:p>
          <w:p>
            <w:pPr>
              <w:widowControl/>
              <w:spacing w:line="360" w:lineRule="auto"/>
              <w:ind w:firstLine="480" w:firstLineChars="200"/>
              <w:jc w:val="left"/>
              <w:rPr>
                <w:kern w:val="24"/>
              </w:rPr>
            </w:pPr>
            <w:r>
              <w:rPr>
                <w:kern w:val="24"/>
                <w:lang w:bidi="ar"/>
              </w:rPr>
              <w:t>在事故状态下，若发生火灾或爆炸事故，天然气燃烧生成的主要产物为CO2和H2O，仅在事故刚发生时有少量甲烷、乙烷等释放，且很快就能扩散，不会长期影响空气质量。事故时天然气燃烧主要采用二氧化碳或干粉灭火器等进行灭火。若引发大面积火灾时会产生一定的消防水，但该类消防水不含有有毒有害物质，对项目拟建地周围环境不会造成较大污染。</w:t>
            </w:r>
          </w:p>
          <w:p>
            <w:pPr>
              <w:widowControl/>
              <w:spacing w:line="360" w:lineRule="auto"/>
              <w:ind w:firstLine="480" w:firstLineChars="200"/>
              <w:jc w:val="left"/>
              <w:rPr>
                <w:kern w:val="24"/>
              </w:rPr>
            </w:pPr>
            <w:r>
              <w:rPr>
                <w:kern w:val="24"/>
                <w:lang w:bidi="ar"/>
              </w:rPr>
              <w:t>④事故燃烧生成NO</w:t>
            </w:r>
            <w:r>
              <w:rPr>
                <w:kern w:val="24"/>
                <w:vertAlign w:val="subscript"/>
                <w:lang w:bidi="ar"/>
              </w:rPr>
              <w:t>2</w:t>
            </w:r>
            <w:r>
              <w:rPr>
                <w:kern w:val="24"/>
                <w:lang w:bidi="ar"/>
              </w:rPr>
              <w:t>对环境空气的影响</w:t>
            </w:r>
          </w:p>
          <w:p>
            <w:pPr>
              <w:widowControl/>
              <w:spacing w:line="360" w:lineRule="auto"/>
              <w:ind w:firstLine="480" w:firstLineChars="200"/>
              <w:jc w:val="left"/>
              <w:rPr>
                <w:kern w:val="24"/>
              </w:rPr>
            </w:pPr>
            <w:r>
              <w:rPr>
                <w:kern w:val="24"/>
                <w:lang w:bidi="ar"/>
              </w:rPr>
              <w:t>由于项目天然气主要成分为甲烷，天然气燃烧将伴生NO</w:t>
            </w:r>
            <w:r>
              <w:rPr>
                <w:kern w:val="24"/>
                <w:vertAlign w:val="subscript"/>
                <w:lang w:bidi="ar"/>
              </w:rPr>
              <w:t>2</w:t>
            </w:r>
            <w:r>
              <w:rPr>
                <w:kern w:val="24"/>
                <w:lang w:bidi="ar"/>
              </w:rPr>
              <w:t>等污染物，将对周围环境空气产生影响。项目在天然气泄漏事故发生时（如管道穿孔、管道断裂），内部截断阀自动关闭，管道内天然气通过截断阀放空，采用热排方式。项目风险可控，对环境空气影响较小。</w:t>
            </w:r>
          </w:p>
          <w:p>
            <w:pPr>
              <w:widowControl/>
              <w:spacing w:line="360" w:lineRule="auto"/>
              <w:jc w:val="left"/>
              <w:rPr>
                <w:b/>
                <w:bCs/>
                <w:kern w:val="0"/>
                <w:lang w:bidi="ar"/>
              </w:rPr>
            </w:pPr>
            <w:r>
              <w:rPr>
                <w:b/>
                <w:bCs/>
                <w:kern w:val="0"/>
                <w:lang w:bidi="ar"/>
              </w:rPr>
              <w:t>5风险防范措施及应急要求</w:t>
            </w:r>
          </w:p>
          <w:p>
            <w:pPr>
              <w:widowControl/>
              <w:spacing w:line="360" w:lineRule="auto"/>
              <w:jc w:val="left"/>
              <w:rPr>
                <w:b/>
                <w:bCs/>
                <w:kern w:val="0"/>
                <w:lang w:bidi="ar"/>
              </w:rPr>
            </w:pPr>
            <w:r>
              <w:rPr>
                <w:b/>
                <w:bCs/>
                <w:kern w:val="0"/>
                <w:lang w:bidi="ar"/>
              </w:rPr>
              <w:t>5.1风险防范措施</w:t>
            </w:r>
          </w:p>
          <w:p>
            <w:pPr>
              <w:widowControl/>
              <w:spacing w:line="360" w:lineRule="auto"/>
              <w:ind w:firstLine="480" w:firstLineChars="200"/>
              <w:jc w:val="left"/>
              <w:rPr>
                <w:kern w:val="0"/>
                <w:lang w:bidi="ar"/>
              </w:rPr>
            </w:pPr>
            <w:r>
              <w:rPr>
                <w:kern w:val="0"/>
                <w:lang w:bidi="ar"/>
              </w:rPr>
              <w:t>（1）工程前期及设计阶段的事故防范措施</w:t>
            </w:r>
          </w:p>
          <w:p>
            <w:pPr>
              <w:widowControl/>
              <w:spacing w:line="360" w:lineRule="auto"/>
              <w:ind w:firstLine="480" w:firstLineChars="200"/>
              <w:jc w:val="left"/>
              <w:rPr>
                <w:kern w:val="0"/>
                <w:lang w:bidi="ar"/>
              </w:rPr>
            </w:pPr>
            <w:r>
              <w:rPr>
                <w:kern w:val="0"/>
                <w:lang w:bidi="ar"/>
              </w:rPr>
              <w:t>1）合理选择线路走向</w:t>
            </w:r>
          </w:p>
          <w:p>
            <w:pPr>
              <w:widowControl/>
              <w:spacing w:line="360" w:lineRule="auto"/>
              <w:ind w:firstLine="480" w:firstLineChars="200"/>
              <w:jc w:val="left"/>
              <w:rPr>
                <w:kern w:val="0"/>
                <w:lang w:bidi="ar"/>
              </w:rPr>
            </w:pPr>
            <w:r>
              <w:rPr>
                <w:kern w:val="0"/>
                <w:lang w:bidi="ar"/>
              </w:rPr>
              <w:t>①选择线路走向时，避开居民区以及复杂地质段，以减少由于天然气泄漏引起的泄漏、火灾、爆炸事故对居民危害；</w:t>
            </w:r>
          </w:p>
          <w:p>
            <w:pPr>
              <w:widowControl/>
              <w:spacing w:line="360" w:lineRule="auto"/>
              <w:ind w:firstLine="480" w:firstLineChars="200"/>
              <w:jc w:val="left"/>
              <w:rPr>
                <w:kern w:val="0"/>
                <w:lang w:bidi="ar"/>
              </w:rPr>
            </w:pPr>
            <w:r>
              <w:rPr>
                <w:kern w:val="0"/>
                <w:lang w:bidi="ar"/>
              </w:rPr>
              <w:t>②根据《输气管道工程设计规范》(GB50251-2015)的要求，输气管道通过的地区，应按沿线居民户数和建筑物的密集程度，划分为四个地区等级，并依据地区等级作出相应的管道设计；</w:t>
            </w:r>
          </w:p>
          <w:p>
            <w:pPr>
              <w:widowControl/>
              <w:spacing w:line="360" w:lineRule="auto"/>
              <w:ind w:firstLine="480" w:firstLineChars="200"/>
              <w:jc w:val="left"/>
              <w:rPr>
                <w:kern w:val="0"/>
                <w:lang w:bidi="ar"/>
              </w:rPr>
            </w:pPr>
            <w:r>
              <w:rPr>
                <w:kern w:val="0"/>
                <w:lang w:bidi="ar"/>
              </w:rPr>
              <w:t>③对管道沿线人口密集、房屋距管道较近等敏感地区，提高设计系数，增加管道壁厚，以增强管道抵抗外部可能造成破坏的能力。</w:t>
            </w:r>
          </w:p>
          <w:p>
            <w:pPr>
              <w:widowControl/>
              <w:spacing w:line="360" w:lineRule="auto"/>
              <w:ind w:firstLine="480" w:firstLineChars="200"/>
              <w:jc w:val="left"/>
              <w:rPr>
                <w:kern w:val="0"/>
                <w:lang w:bidi="ar"/>
              </w:rPr>
            </w:pPr>
            <w:r>
              <w:rPr>
                <w:kern w:val="0"/>
                <w:lang w:bidi="ar"/>
              </w:rPr>
              <w:t>2）防腐</w:t>
            </w:r>
          </w:p>
          <w:p>
            <w:pPr>
              <w:widowControl/>
              <w:spacing w:line="360" w:lineRule="auto"/>
              <w:ind w:firstLine="480" w:firstLineChars="200"/>
              <w:jc w:val="left"/>
              <w:rPr>
                <w:kern w:val="0"/>
                <w:lang w:bidi="ar"/>
              </w:rPr>
            </w:pPr>
            <w:r>
              <w:t>本工程架空燃气管线采用刷防锈漆(底漆、中间漆、面漆)的保护方式；埋地PE管道不做防腐。</w:t>
            </w:r>
            <w:r>
              <w:rPr>
                <w:kern w:val="0"/>
                <w:lang w:bidi="ar"/>
              </w:rPr>
              <w:t>采用钢管焊接部分天然气管道，应加强防腐，管顶距地面0.5米处敷设警示带。</w:t>
            </w:r>
          </w:p>
          <w:p>
            <w:pPr>
              <w:spacing w:line="360" w:lineRule="auto"/>
              <w:ind w:firstLine="480" w:firstLineChars="200"/>
            </w:pPr>
            <w:r>
              <w:t>（2）施工阶段的事故防范措施</w:t>
            </w:r>
          </w:p>
          <w:p>
            <w:pPr>
              <w:spacing w:line="360" w:lineRule="auto"/>
              <w:ind w:firstLine="480" w:firstLineChars="200"/>
            </w:pPr>
            <w:r>
              <w:t>1）天然气管线控制埋深：管道的埋设深度根据《城镇燃气设计规范》（GB50028-2006），结合管道所经地区冻土深度（喀什市冻土深度为66cm）、天然气的输送温度等情况确定，管道埋设到冻土层以下，闸井处埋深不低于1.9米。管线位置和埋深可根据现场实际情况合理调整，调整后管线距各建筑物和埋深应满足现行规范和相关规定要求。管线架空敷设时可沿耐火等级不低于二级的建筑物外墙或院墙敷设，或敷设在钢支架上，支架处不应有管道接头，沿建筑物外墙敷设的燃气管道距建筑物中不应敷设燃气管道的房间门、窗洞口的净距不应小于0.5m。</w:t>
            </w:r>
          </w:p>
          <w:p>
            <w:pPr>
              <w:spacing w:line="360" w:lineRule="auto"/>
              <w:ind w:firstLine="480" w:firstLineChars="200"/>
            </w:pPr>
            <w:r>
              <w:t xml:space="preserve">管沟宽度根据管沟深度、管道外径和施工措施确定，通常情况应满足下式要求： </w:t>
            </w:r>
          </w:p>
          <w:p>
            <w:pPr>
              <w:spacing w:line="360" w:lineRule="auto"/>
              <w:jc w:val="center"/>
            </w:pPr>
            <w:r>
              <w:rPr>
                <w:position w:val="-4"/>
              </w:rPr>
              <w:object>
                <v:shape id="_x0000_i1025" o:spt="75" type="#_x0000_t75" style="height:13pt;width:54pt;" o:ole="t" filled="f" o:preferrelative="t" stroked="f" coordsize="21600,21600">
                  <v:path/>
                  <v:fill on="f" focussize="0,0"/>
                  <v:stroke on="f" joinstyle="miter"/>
                  <v:imagedata r:id="rId47" o:title=""/>
                  <o:lock v:ext="edit" aspectratio="t"/>
                  <w10:wrap type="none"/>
                  <w10:anchorlock/>
                </v:shape>
                <o:OLEObject Type="Embed" ProgID="Equation.KSEE3" ShapeID="_x0000_i1025" DrawAspect="Content" ObjectID="_1468075725" r:id="rId46">
                  <o:LockedField>false</o:LockedField>
                </o:OLEObject>
              </w:object>
            </w:r>
          </w:p>
          <w:p>
            <w:pPr>
              <w:spacing w:line="360" w:lineRule="auto"/>
              <w:ind w:firstLine="480" w:firstLineChars="200"/>
            </w:pPr>
            <w:r>
              <w:t>式中：          B________________沟底宽度（m）；</w:t>
            </w:r>
          </w:p>
          <w:p>
            <w:pPr>
              <w:spacing w:line="360" w:lineRule="auto"/>
              <w:ind w:firstLine="2400" w:firstLineChars="1000"/>
            </w:pPr>
            <w:r>
              <w:t>D________________带防腐层管外径（m）；</w:t>
            </w:r>
          </w:p>
          <w:p>
            <w:pPr>
              <w:spacing w:line="360" w:lineRule="auto"/>
              <w:ind w:firstLine="2400" w:firstLineChars="1000"/>
            </w:pPr>
            <w:r>
              <w:t>K________________沟底加宽裕量（m）。</w:t>
            </w:r>
          </w:p>
          <w:p>
            <w:pPr>
              <w:spacing w:line="360" w:lineRule="auto"/>
              <w:ind w:firstLine="480" w:firstLineChars="200"/>
            </w:pPr>
            <w:r>
              <w:t>2）采用钢管焊接部分天然气管道焊件组对前及焊接前，应将坡口及内外侧表面不小于20mm范围内的杂质、污物、毛刺和镀锌层等清理干净，并不得有裂缝、夹层等缺陷；坡口的加工形式和尺寸应符合《现场设备、工业管道焊接工程施工规范》（GB 50236-2011）。</w:t>
            </w:r>
          </w:p>
          <w:p>
            <w:pPr>
              <w:spacing w:line="360" w:lineRule="auto"/>
              <w:ind w:firstLine="480" w:firstLineChars="200"/>
            </w:pPr>
            <w:r>
              <w:t>3）室外钢管焊接部分天然气管道焊接完成后，应对焊缝进行100%无损探伤，焊缝质量应符合《无损检测金属管道熔化焊环向对接接头射线照相检测方法》要求。</w:t>
            </w:r>
          </w:p>
          <w:p>
            <w:pPr>
              <w:spacing w:line="360" w:lineRule="auto"/>
              <w:ind w:firstLine="480" w:firstLineChars="200"/>
            </w:pPr>
            <w:r>
              <w:t>4）内钢管焊接处，焊缝固定焊口进行100%射线无损探伤拍片，活动焊缝进行30%射线无损探伤拍片，并应符合《城镇燃气室内工程施工与质量验收规范》（CJJ94-2009）要求。</w:t>
            </w:r>
          </w:p>
          <w:p>
            <w:pPr>
              <w:spacing w:line="360" w:lineRule="auto"/>
              <w:ind w:firstLine="480" w:firstLineChars="200"/>
            </w:pPr>
            <w:r>
              <w:t>5）在施工过程中，加强监理，确保涂层施工质量。</w:t>
            </w:r>
          </w:p>
          <w:p>
            <w:pPr>
              <w:spacing w:line="360" w:lineRule="auto"/>
              <w:ind w:firstLine="480" w:firstLineChars="200"/>
            </w:pPr>
            <w:r>
              <w:t>6）建立施工质量保证体系，提高施工检验人员的水平，加强检验手段。</w:t>
            </w:r>
          </w:p>
          <w:p>
            <w:pPr>
              <w:spacing w:line="360" w:lineRule="auto"/>
              <w:ind w:firstLine="480" w:firstLineChars="200"/>
            </w:pPr>
            <w:r>
              <w:t>7）制定严格的规章制度，发现缺陷及时正确修补并做好记录。</w:t>
            </w:r>
          </w:p>
          <w:p>
            <w:pPr>
              <w:spacing w:line="360" w:lineRule="auto"/>
              <w:ind w:firstLine="480" w:firstLineChars="200"/>
            </w:pPr>
            <w:r>
              <w:t>8）选择有丰富经验的单位进行施工，并有优秀的第三方对其施工质量进行强有力的监督，减少施工误操作。</w:t>
            </w:r>
          </w:p>
          <w:p>
            <w:pPr>
              <w:spacing w:line="360" w:lineRule="auto"/>
              <w:ind w:firstLine="480" w:firstLineChars="200"/>
            </w:pPr>
            <w:r>
              <w:t>9）管线敷设线路上方设置永久性标志，提醒人们在管线两侧活动，保护管线的安全。</w:t>
            </w:r>
          </w:p>
          <w:p>
            <w:pPr>
              <w:spacing w:line="360" w:lineRule="auto"/>
              <w:ind w:firstLine="480" w:firstLineChars="200"/>
            </w:pPr>
            <w:r>
              <w:t>（3）运行阶段的事故防范措施</w:t>
            </w:r>
          </w:p>
          <w:p>
            <w:pPr>
              <w:spacing w:line="360" w:lineRule="auto"/>
              <w:ind w:firstLine="480" w:firstLineChars="200"/>
            </w:pPr>
            <w:r>
              <w:t>1）严格控制天然气的气质，定期清管，排除管内的积水和污物，以减轻管道内腐蚀。</w:t>
            </w:r>
          </w:p>
          <w:p>
            <w:pPr>
              <w:spacing w:line="360" w:lineRule="auto"/>
              <w:ind w:firstLine="480" w:firstLineChars="200"/>
            </w:pPr>
            <w:r>
              <w:t>2）为了减轻管线的内外腐蚀，每年定期用超声波检测仪，测量 1-2 次管线内外防腐情况，若管壁厚度减薄，应及时更换管段。</w:t>
            </w:r>
          </w:p>
          <w:p>
            <w:pPr>
              <w:spacing w:line="360" w:lineRule="auto"/>
              <w:ind w:firstLine="480" w:firstLineChars="200"/>
            </w:pPr>
            <w:r>
              <w:t>3）定期检查管道安全保护系统（如截断阀），使管道在超压时能够得到安全处理，使危害影响范围减小到最低程度。</w:t>
            </w:r>
          </w:p>
          <w:p>
            <w:pPr>
              <w:spacing w:line="360" w:lineRule="auto"/>
              <w:ind w:firstLine="480" w:firstLineChars="200"/>
            </w:pPr>
            <w:r>
              <w:t>4）加大巡线频率，提高巡线的有效性。每天检查管道施工带，查看地表情况，并关注在此地带的人员活动情况，发现对管道安全有影响的行为，应及时制止、采取相应措施并向上级报告。</w:t>
            </w:r>
          </w:p>
          <w:p>
            <w:pPr>
              <w:spacing w:line="360" w:lineRule="auto"/>
              <w:ind w:firstLine="480" w:firstLineChars="200"/>
            </w:pPr>
            <w:r>
              <w:t>5）为保护管道不受深根系植被破坏，在管道上部土壤中可复耕一般农作物及种植浅根系植被。在对集输管道的日常巡线检查过程中，应将管道上覆土壤中会对管道构成破坏的深根系植被进行及时清理，以确保管道的安全运行。</w:t>
            </w:r>
          </w:p>
          <w:p>
            <w:pPr>
              <w:spacing w:line="360" w:lineRule="auto"/>
              <w:ind w:firstLine="480" w:firstLineChars="200"/>
            </w:pPr>
            <w:r>
              <w:t>（4）管理措施</w:t>
            </w:r>
          </w:p>
          <w:p>
            <w:pPr>
              <w:spacing w:line="360" w:lineRule="auto"/>
              <w:ind w:firstLine="480" w:firstLineChars="200"/>
            </w:pPr>
            <w:r>
              <w:t>1）建立环境风险管理体系。管道在运营期必须制定综合管理、HSE管理和风险管理体系，综合管理体系和安全管理体系为风险管理提供技术保障。综合管理</w:t>
            </w:r>
            <w:r>
              <w:rPr>
                <w:rFonts w:hint="eastAsia"/>
                <w:lang w:eastAsia="zh-CN"/>
              </w:rPr>
              <w:t>体系</w:t>
            </w:r>
            <w:r>
              <w:t>包括：管理组织结构、任务和职责，制定操作规程，安全章程，职员培训，应急计划，建立管道系统资料档案。为了防范事故风险，应编制主要事故预防文件。</w:t>
            </w:r>
          </w:p>
          <w:p>
            <w:pPr>
              <w:spacing w:line="360" w:lineRule="auto"/>
              <w:ind w:firstLine="480" w:firstLineChars="200"/>
            </w:pPr>
            <w:r>
              <w:t>2）在系统投产运行前，应制订出供正常、异常或紧急状态下的操作手册和维修手册，并对操作、维修人员进行培训，持证上岗，避免因严重操作失误而造成的事故。</w:t>
            </w:r>
          </w:p>
          <w:p>
            <w:pPr>
              <w:spacing w:line="360" w:lineRule="auto"/>
              <w:ind w:firstLine="480" w:firstLineChars="200"/>
            </w:pPr>
            <w:r>
              <w:t>3）制订应急操作规程，在规程中应说明发生管道事故时应采取的操作步骤，规定抢修进度，限制事故的影响，另外还应说明与管道操作人员有关的安全问题。</w:t>
            </w:r>
          </w:p>
          <w:p>
            <w:pPr>
              <w:spacing w:line="360" w:lineRule="auto"/>
              <w:ind w:firstLine="480" w:firstLineChars="200"/>
            </w:pPr>
            <w:r>
              <w:t>4）操作人员每周应进行安全活动，提高职工的安全意识，识别事故发生前的异常状态，并采取相应的措施。</w:t>
            </w:r>
          </w:p>
          <w:p>
            <w:pPr>
              <w:spacing w:line="360" w:lineRule="auto"/>
              <w:ind w:firstLine="480" w:firstLineChars="200"/>
            </w:pPr>
            <w:r>
              <w:t>5）对附近的居民加强教育，进一步宣传贯彻、落实《石油天然气管道保护条例》，减少、避免发生第三方破坏的</w:t>
            </w:r>
            <w:r>
              <w:rPr>
                <w:rFonts w:hint="eastAsia"/>
                <w:lang w:eastAsia="zh-CN"/>
              </w:rPr>
              <w:t>事故</w:t>
            </w:r>
            <w:r>
              <w:t>。</w:t>
            </w:r>
          </w:p>
          <w:p>
            <w:pPr>
              <w:spacing w:line="360" w:lineRule="auto"/>
              <w:ind w:firstLine="480" w:firstLineChars="200"/>
              <w:rPr>
                <w:lang w:bidi="ar"/>
              </w:rPr>
            </w:pPr>
            <w:r>
              <w:t>6）对重要的仪器设备有完善的检查项目、维护方法；按计划进行定期维护；有专门档案(包括维护记录档案)，文件齐全。</w:t>
            </w:r>
          </w:p>
          <w:p>
            <w:pPr>
              <w:spacing w:line="360" w:lineRule="auto"/>
              <w:rPr>
                <w:b/>
                <w:bCs/>
              </w:rPr>
            </w:pPr>
            <w:r>
              <w:rPr>
                <w:b/>
                <w:bCs/>
              </w:rPr>
              <w:t>5.2 应急预案</w:t>
            </w:r>
          </w:p>
          <w:p>
            <w:pPr>
              <w:spacing w:line="360" w:lineRule="auto"/>
              <w:ind w:firstLine="480" w:firstLineChars="200"/>
            </w:pPr>
            <w:r>
              <w:t>对拟建项目</w:t>
            </w:r>
            <w:r>
              <w:rPr>
                <w:rFonts w:hint="eastAsia"/>
                <w:lang w:eastAsia="zh-CN"/>
              </w:rPr>
              <w:t>天然气</w:t>
            </w:r>
            <w:r>
              <w:t>系统制定完备的环境风险应急预案，主要内容如下：</w:t>
            </w:r>
          </w:p>
          <w:p>
            <w:pPr>
              <w:spacing w:line="360" w:lineRule="auto"/>
              <w:ind w:firstLine="480" w:firstLineChars="200"/>
            </w:pPr>
            <w:r>
              <w:t>（1）报告程序</w:t>
            </w:r>
          </w:p>
          <w:p>
            <w:pPr>
              <w:spacing w:line="360" w:lineRule="auto"/>
              <w:ind w:firstLine="480" w:firstLineChars="200"/>
            </w:pPr>
            <w:r>
              <w:t>事故发现人报警：接警人员立即通知管网运行部主管，再由该部门立即指派巡线人员赶赴现场。巡线人员在到达现场后视事故性质通知119、110、120，并迅速向管网运行部报告现场情况，再根据险情向公司抢险抢修指挥部报告。</w:t>
            </w:r>
          </w:p>
          <w:p>
            <w:pPr>
              <w:spacing w:line="360" w:lineRule="auto"/>
              <w:ind w:firstLine="480" w:firstLineChars="200"/>
            </w:pPr>
            <w:r>
              <w:t>（2）工作要求</w:t>
            </w:r>
          </w:p>
          <w:p>
            <w:pPr>
              <w:spacing w:line="360" w:lineRule="auto"/>
              <w:ind w:firstLine="480" w:firstLineChars="200"/>
            </w:pPr>
            <w:r>
              <w:t>▲抢险队伍应配备必要的抢险设备(专用抢险车辆、维修工具、备用品等)、通讯设备(包括固定电话、移动电话、对讲机等)、防护用具(防护服、手套、呼吸器、防毒面具等)、消防器材、检测仪器、防爆工具等装备，以及标志明显的服装或标志、标识等。管网运行部主管部门要有抢险抢修组织机构图、通讯联系表(包括固定电话、移动电话、传呼机等)、联动机构联系表、关键岗位人员名单、全体人员名单等。</w:t>
            </w:r>
          </w:p>
          <w:p>
            <w:pPr>
              <w:spacing w:line="360" w:lineRule="auto"/>
              <w:ind w:firstLine="480" w:firstLineChars="200"/>
            </w:pPr>
            <w:r>
              <w:t>▲备好抢险物资、车辆、设备、消防器材等，使之处于完好待命状态，以备紧急事故时随时启用。</w:t>
            </w:r>
          </w:p>
          <w:p>
            <w:pPr>
              <w:spacing w:line="360" w:lineRule="auto"/>
              <w:ind w:firstLine="480" w:firstLineChars="200"/>
            </w:pPr>
            <w:r>
              <w:t>▲在紧急事故状态下，按照公司规定的抢险程序，全体员工要随时听从指挥和调动，材料、物资、</w:t>
            </w:r>
            <w:r>
              <w:rPr>
                <w:rFonts w:hint="eastAsia"/>
                <w:lang w:eastAsia="zh-CN"/>
              </w:rPr>
              <w:t>车辆</w:t>
            </w:r>
            <w:r>
              <w:t>听从指挥和调配，保障物资供应。</w:t>
            </w:r>
          </w:p>
          <w:p>
            <w:pPr>
              <w:spacing w:line="360" w:lineRule="auto"/>
              <w:ind w:firstLine="480" w:firstLineChars="200"/>
            </w:pPr>
            <w:r>
              <w:t>▲抢险队伍到达事发现场后，要首先关闭两端控制阀门，同时布置警戒，然后通过打眼及检漏仪的测量分析，初步确定漏气位置，分析漏气原因，确定维修方案；同时要搞清出事地点管线规格、材质、走向分布及影响区域范围。</w:t>
            </w:r>
          </w:p>
          <w:p>
            <w:pPr>
              <w:spacing w:line="360" w:lineRule="auto"/>
              <w:ind w:firstLine="480" w:firstLineChars="200"/>
            </w:pPr>
            <w:r>
              <w:t>▲根据现场情况确定是否组织人员进行开挖。开挖时要严防出现火花及中毒现象。重要路段或情况严重时须组织机械开挖，开挖时须派专人密切关注地下管网情况，防止机械开挖破坏燃气管线或其它管线。</w:t>
            </w:r>
          </w:p>
          <w:p>
            <w:pPr>
              <w:spacing w:line="360" w:lineRule="auto"/>
              <w:ind w:firstLine="480" w:firstLineChars="200"/>
            </w:pPr>
            <w:r>
              <w:t>▲抢修完毕，要对维修过的管道重新置换合格；恢复供气之前，应对抢修造成的停气区域进行恢复供气通知。</w:t>
            </w:r>
          </w:p>
          <w:p>
            <w:pPr>
              <w:spacing w:line="360" w:lineRule="auto"/>
              <w:ind w:firstLine="480" w:firstLineChars="200"/>
            </w:pPr>
            <w:r>
              <w:t>▲恢复供气时，压力应逐渐升高，并对抢修部位进行检漏；确认不漏时，再逐渐缓慢开启阀门，启动调压器，恢复供气。</w:t>
            </w:r>
          </w:p>
          <w:p>
            <w:pPr>
              <w:spacing w:line="360" w:lineRule="auto"/>
              <w:ind w:firstLine="480" w:firstLineChars="200"/>
            </w:pPr>
            <w:r>
              <w:t>▲管内压力达到正常压力时，再对接口进行逐一检查，确认不漏方可回填。</w:t>
            </w:r>
          </w:p>
          <w:p>
            <w:pPr>
              <w:spacing w:line="360" w:lineRule="auto"/>
              <w:ind w:firstLine="480" w:firstLineChars="200"/>
            </w:pPr>
            <w:r>
              <w:t>▲抢修完毕，要根据实际情况，分析事故原因，核实抢修费用，编写抢修报告，报告公司及有关部门备案。</w:t>
            </w:r>
          </w:p>
          <w:p>
            <w:pPr>
              <w:spacing w:line="360" w:lineRule="auto"/>
              <w:ind w:firstLine="480" w:firstLineChars="200"/>
            </w:pPr>
            <w:r>
              <w:t>（3）应急救援组织及其职责</w:t>
            </w:r>
          </w:p>
          <w:p>
            <w:pPr>
              <w:spacing w:line="360" w:lineRule="auto"/>
              <w:ind w:firstLine="480" w:firstLineChars="200"/>
            </w:pPr>
            <w:r>
              <w:t>1）</w:t>
            </w:r>
            <w:r>
              <w:rPr>
                <w:rStyle w:val="47"/>
                <w:rFonts w:hint="default" w:ascii="Times New Roman" w:hAnsi="Times New Roman" w:cs="Times New Roman"/>
                <w:color w:val="auto"/>
              </w:rPr>
              <w:t>燃气公司成立应急领导小组，设立应急办公室，成立天然气应急队伍。</w:t>
            </w:r>
            <w:r>
              <w:t>应急组织机构见图2。</w:t>
            </w:r>
          </w:p>
          <w:p>
            <w:pPr>
              <w:spacing w:line="360" w:lineRule="auto"/>
            </w:pPr>
            <w:r>
              <w:drawing>
                <wp:inline distT="0" distB="0" distL="114300" distR="114300">
                  <wp:extent cx="5567045" cy="2112645"/>
                  <wp:effectExtent l="0" t="0" r="12065" b="508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8"/>
                          <a:srcRect t="3114" r="2676" b="15280"/>
                          <a:stretch>
                            <a:fillRect/>
                          </a:stretch>
                        </pic:blipFill>
                        <pic:spPr>
                          <a:xfrm>
                            <a:off x="0" y="0"/>
                            <a:ext cx="5567045" cy="2112645"/>
                          </a:xfrm>
                          <a:prstGeom prst="rect">
                            <a:avLst/>
                          </a:prstGeom>
                          <a:noFill/>
                          <a:ln>
                            <a:noFill/>
                          </a:ln>
                        </pic:spPr>
                      </pic:pic>
                    </a:graphicData>
                  </a:graphic>
                </wp:inline>
              </w:drawing>
            </w:r>
          </w:p>
          <w:p>
            <w:pPr>
              <w:spacing w:line="360" w:lineRule="auto"/>
              <w:jc w:val="center"/>
              <w:rPr>
                <w:b/>
                <w:bCs/>
              </w:rPr>
            </w:pPr>
            <w:r>
              <w:rPr>
                <w:b/>
                <w:bCs/>
              </w:rPr>
              <w:t>图2       应急救援组织图</w:t>
            </w:r>
          </w:p>
          <w:p>
            <w:pPr>
              <w:spacing w:line="360" w:lineRule="auto"/>
              <w:ind w:firstLine="480" w:firstLineChars="200"/>
            </w:pPr>
            <w:r>
              <w:t>2）公司成立应急指挥部由公司领导及机关职能、直属部门和各属地单位主要负责人组成。</w:t>
            </w:r>
          </w:p>
          <w:p>
            <w:pPr>
              <w:spacing w:line="360" w:lineRule="auto"/>
              <w:ind w:firstLine="480" w:firstLineChars="200"/>
            </w:pPr>
            <w:r>
              <w:t>①组长：公司经理</w:t>
            </w:r>
          </w:p>
          <w:p>
            <w:pPr>
              <w:spacing w:line="360" w:lineRule="auto"/>
              <w:ind w:firstLine="480" w:firstLineChars="200"/>
            </w:pPr>
            <w:r>
              <w:t>②副组长：公司主管安全生产副经理、分管业务副经理、总工、安全副总监、经理助理。</w:t>
            </w:r>
          </w:p>
          <w:p>
            <w:pPr>
              <w:spacing w:line="360" w:lineRule="auto"/>
              <w:ind w:firstLine="480" w:firstLineChars="200"/>
            </w:pPr>
            <w:r>
              <w:t>③成员：公司各科室成员。</w:t>
            </w:r>
          </w:p>
          <w:p>
            <w:pPr>
              <w:spacing w:line="360" w:lineRule="auto"/>
              <w:ind w:firstLine="480" w:firstLineChars="200"/>
            </w:pPr>
            <w:r>
              <w:t>④组织规定：</w:t>
            </w:r>
          </w:p>
          <w:p>
            <w:pPr>
              <w:spacing w:line="360" w:lineRule="auto"/>
              <w:ind w:firstLine="480" w:firstLineChars="200"/>
            </w:pPr>
            <w:r>
              <w:t>a 领导小组组长不在时，由组长指定的副组长履行其职责。</w:t>
            </w:r>
          </w:p>
          <w:p>
            <w:pPr>
              <w:spacing w:line="360" w:lineRule="auto"/>
              <w:ind w:firstLine="480" w:firstLineChars="200"/>
            </w:pPr>
            <w:r>
              <w:t>b 领导小组组长任命现场指挥及若干副指挥，现场指挥负责协调指挥应急抢险，指挥不在时，副指挥按指定顺序接替总指挥职责。</w:t>
            </w:r>
          </w:p>
          <w:p>
            <w:pPr>
              <w:spacing w:line="360" w:lineRule="auto"/>
              <w:ind w:firstLine="480" w:firstLineChars="200"/>
            </w:pPr>
            <w:r>
              <w:t>c 成员部门正职不在时，由正职指定的工作交接</w:t>
            </w:r>
            <w:r>
              <w:rPr>
                <w:rFonts w:hint="eastAsia"/>
                <w:lang w:eastAsia="zh-CN"/>
              </w:rPr>
              <w:t>人员</w:t>
            </w:r>
            <w:r>
              <w:t>履行其职责。</w:t>
            </w:r>
          </w:p>
          <w:p>
            <w:pPr>
              <w:spacing w:line="360" w:lineRule="auto"/>
              <w:ind w:firstLine="480" w:firstLineChars="200"/>
            </w:pPr>
            <w:r>
              <w:t>3）应急救援组织职责及分工</w:t>
            </w:r>
          </w:p>
          <w:p>
            <w:pPr>
              <w:spacing w:line="360" w:lineRule="auto"/>
              <w:ind w:firstLine="480" w:firstLineChars="200"/>
            </w:pPr>
            <w:r>
              <w:t>①组长职责</w:t>
            </w:r>
          </w:p>
          <w:p>
            <w:pPr>
              <w:spacing w:line="360" w:lineRule="auto"/>
              <w:ind w:firstLine="480" w:firstLineChars="200"/>
            </w:pPr>
            <w:r>
              <w:t>a负责公司级应急救援工作的应急领导和决策工作。负责审定公司总体应急预案。</w:t>
            </w:r>
          </w:p>
          <w:p>
            <w:pPr>
              <w:spacing w:line="360" w:lineRule="auto"/>
              <w:ind w:firstLine="480" w:firstLineChars="200"/>
            </w:pPr>
            <w:r>
              <w:t>b负责审定对外新闻发布材料。确定向政府及上级部门申请救援或配合政府及上级部门。</w:t>
            </w:r>
          </w:p>
          <w:p>
            <w:pPr>
              <w:spacing w:line="360" w:lineRule="auto"/>
              <w:ind w:firstLine="480" w:firstLineChars="200"/>
            </w:pPr>
            <w:r>
              <w:t>c开展应急工作。组织事后分析评估工作。</w:t>
            </w:r>
          </w:p>
          <w:p>
            <w:pPr>
              <w:spacing w:line="360" w:lineRule="auto"/>
              <w:ind w:firstLine="480" w:firstLineChars="200"/>
            </w:pPr>
            <w:r>
              <w:t>d现场指挥职责：</w:t>
            </w:r>
          </w:p>
          <w:p>
            <w:pPr>
              <w:spacing w:line="360" w:lineRule="auto"/>
              <w:ind w:firstLine="480" w:firstLineChars="200"/>
            </w:pPr>
            <w:r>
              <w:t>负责启动和解除应急处置指令。带领应急指挥部各小组赶赴现场进行应急处置。</w:t>
            </w:r>
          </w:p>
          <w:p>
            <w:pPr>
              <w:spacing w:line="360" w:lineRule="auto"/>
              <w:ind w:firstLine="480" w:firstLineChars="200"/>
            </w:pPr>
            <w:r>
              <w:t>负责应急抢险时物资的调配。负责公司级专项预案的审定。负责现场应急处置时应急预案变更的审定。负责向应急指挥部汇报应急处置情况。</w:t>
            </w:r>
          </w:p>
          <w:p>
            <w:pPr>
              <w:spacing w:line="360" w:lineRule="auto"/>
              <w:ind w:firstLine="480" w:firstLineChars="200"/>
            </w:pPr>
            <w:r>
              <w:t>②应急办公室</w:t>
            </w:r>
          </w:p>
          <w:p>
            <w:pPr>
              <w:spacing w:line="360" w:lineRule="auto"/>
              <w:ind w:firstLine="480" w:firstLineChars="200"/>
            </w:pPr>
            <w:r>
              <w:t>主要负责应急值班值守和综合信息收集、报送等工作。</w:t>
            </w:r>
          </w:p>
          <w:p>
            <w:pPr>
              <w:spacing w:line="360" w:lineRule="auto"/>
              <w:ind w:firstLine="480" w:firstLineChars="200"/>
            </w:pPr>
            <w:r>
              <w:t>③疏散引导</w:t>
            </w:r>
          </w:p>
          <w:p>
            <w:pPr>
              <w:spacing w:line="360" w:lineRule="auto"/>
              <w:ind w:firstLine="480" w:firstLineChars="200"/>
            </w:pPr>
            <w:r>
              <w:t>由保卫部负责，主要负责与事发地点公安、社区、交警联系，疏散现场人员，负责事故现场治安、维护现场秩序。</w:t>
            </w:r>
          </w:p>
          <w:p>
            <w:pPr>
              <w:spacing w:line="360" w:lineRule="auto"/>
              <w:ind w:firstLine="480" w:firstLineChars="200"/>
            </w:pPr>
            <w:r>
              <w:t>④抢险行动</w:t>
            </w:r>
          </w:p>
          <w:p>
            <w:pPr>
              <w:spacing w:line="360" w:lineRule="auto"/>
              <w:ind w:firstLine="480" w:firstLineChars="200"/>
            </w:pPr>
            <w:r>
              <w:t>由属地单位负责现场抢险、安全监管，听从指挥安排，查明事故情况对事故源进行处理，衔接专业抢险队伍及消防、医疗、交通等有关单位的投入。</w:t>
            </w:r>
          </w:p>
          <w:p>
            <w:pPr>
              <w:spacing w:line="360" w:lineRule="auto"/>
              <w:ind w:firstLine="480" w:firstLineChars="200"/>
            </w:pPr>
            <w:r>
              <w:t>（4）应急救援抢修启动程序</w:t>
            </w:r>
          </w:p>
          <w:p>
            <w:pPr>
              <w:spacing w:line="360" w:lineRule="auto"/>
              <w:ind w:firstLine="480" w:firstLineChars="200"/>
            </w:pPr>
            <w:r>
              <w:t>根据事故现场危害程度将抢修分为一级、二级和三级抢修三个级别。根据抢修级别分别启动抢修程序和预案。</w:t>
            </w:r>
          </w:p>
          <w:p>
            <w:pPr>
              <w:spacing w:line="360" w:lineRule="auto"/>
              <w:ind w:firstLine="480" w:firstLineChars="200"/>
            </w:pPr>
            <w:r>
              <w:t>（5）安全保障及应急救护措施</w:t>
            </w:r>
          </w:p>
          <w:p>
            <w:pPr>
              <w:spacing w:line="360" w:lineRule="auto"/>
              <w:ind w:firstLine="480" w:firstLineChars="200"/>
            </w:pPr>
            <w:r>
              <w:t>当管线因腐蚀穿孔发生严重天然气泄漏时，立即关闭截断阀控制压力，部署警戒线，严禁火种，随时检测天然气浓度，制定抢险方案，严格按安全操作规程挖出管段并进行抢修（打卡子、带压补焊、换管等）。</w:t>
            </w:r>
          </w:p>
          <w:p>
            <w:pPr>
              <w:spacing w:line="360" w:lineRule="auto"/>
              <w:ind w:firstLine="480" w:firstLineChars="200"/>
            </w:pPr>
            <w:r>
              <w:t>当管道因断裂产生大量天然气泄漏时，立即关闭相应截断阀，控制压力，部署警戒线，严禁火种，听从命令，制定抢修方案，随时检测天然气浓度，严格执行安全操作规程挖出断裂管段并进行抢修（置换、换管等）；如发生火灾，应控制有关截断阀，降压灭火，其他步骤同上。</w:t>
            </w:r>
          </w:p>
          <w:p>
            <w:pPr>
              <w:spacing w:line="360" w:lineRule="auto"/>
              <w:ind w:firstLine="480" w:firstLineChars="200"/>
            </w:pPr>
            <w:r>
              <w:t>具体事故处理预案如下：</w:t>
            </w:r>
          </w:p>
          <w:p>
            <w:pPr>
              <w:spacing w:line="360" w:lineRule="auto"/>
              <w:ind w:firstLine="480" w:firstLineChars="200"/>
            </w:pPr>
            <w:r>
              <w:t>①截断阀室内阀门法兰垫、压兰、法体微漏</w:t>
            </w:r>
          </w:p>
          <w:p>
            <w:pPr>
              <w:spacing w:line="360" w:lineRule="auto"/>
              <w:ind w:firstLine="480" w:firstLineChars="200"/>
              <w:rPr>
                <w:kern w:val="0"/>
                <w:lang w:bidi="ar"/>
              </w:rPr>
            </w:pPr>
            <w:r>
              <w:t>用风机对截断阀室内进行排风，待浓度排净后抢修人员进行检修</w:t>
            </w:r>
            <w:r>
              <w:rPr>
                <w:kern w:val="0"/>
                <w:lang w:bidi="ar"/>
              </w:rPr>
              <w:t>；</w:t>
            </w:r>
          </w:p>
          <w:p>
            <w:pPr>
              <w:spacing w:line="360" w:lineRule="auto"/>
              <w:ind w:firstLine="480" w:firstLineChars="200"/>
              <w:rPr>
                <w:kern w:val="0"/>
                <w:lang w:bidi="ar"/>
              </w:rPr>
            </w:pPr>
            <w:r>
              <w:rPr>
                <w:kern w:val="0"/>
                <w:lang w:bidi="ar"/>
              </w:rPr>
              <w:t>②截断阀室内阀门法兰垫、压兰、法体大量泄漏</w:t>
            </w:r>
          </w:p>
          <w:p>
            <w:pPr>
              <w:spacing w:line="360" w:lineRule="auto"/>
              <w:ind w:firstLine="480" w:firstLineChars="200"/>
              <w:rPr>
                <w:kern w:val="0"/>
                <w:lang w:bidi="ar"/>
              </w:rPr>
            </w:pPr>
            <w:r>
              <w:rPr>
                <w:kern w:val="0"/>
                <w:lang w:bidi="ar"/>
              </w:rPr>
              <w:t>关闭泄漏截断阀室上下游阀门，警戒人员监视浓度，抢修人员</w:t>
            </w:r>
            <w:r>
              <w:rPr>
                <w:rFonts w:hint="eastAsia"/>
                <w:kern w:val="0"/>
                <w:lang w:eastAsia="zh-CN" w:bidi="ar"/>
              </w:rPr>
              <w:t>戴呼吸器</w:t>
            </w:r>
            <w:r>
              <w:rPr>
                <w:kern w:val="0"/>
                <w:lang w:bidi="ar"/>
              </w:rPr>
              <w:t>进入现场抢修。</w:t>
            </w:r>
          </w:p>
          <w:p>
            <w:pPr>
              <w:spacing w:line="360" w:lineRule="auto"/>
              <w:ind w:firstLine="480" w:firstLineChars="200"/>
              <w:rPr>
                <w:kern w:val="0"/>
                <w:lang w:bidi="ar"/>
              </w:rPr>
            </w:pPr>
            <w:r>
              <w:rPr>
                <w:kern w:val="0"/>
                <w:lang w:bidi="ar"/>
              </w:rPr>
              <w:t>③暴露管线微漏</w:t>
            </w:r>
          </w:p>
          <w:p>
            <w:pPr>
              <w:spacing w:line="360" w:lineRule="auto"/>
              <w:ind w:firstLine="480" w:firstLineChars="200"/>
              <w:rPr>
                <w:kern w:val="0"/>
                <w:lang w:bidi="ar"/>
              </w:rPr>
            </w:pPr>
            <w:r>
              <w:rPr>
                <w:kern w:val="0"/>
                <w:lang w:bidi="ar"/>
              </w:rPr>
              <w:t>采用钉竹钎子，将两半卡子紧固在管线上直至不泄漏为止。</w:t>
            </w:r>
          </w:p>
          <w:p>
            <w:pPr>
              <w:spacing w:line="360" w:lineRule="auto"/>
              <w:ind w:firstLine="480" w:firstLineChars="200"/>
              <w:rPr>
                <w:kern w:val="0"/>
                <w:lang w:bidi="ar"/>
              </w:rPr>
            </w:pPr>
            <w:r>
              <w:rPr>
                <w:kern w:val="0"/>
                <w:lang w:bidi="ar"/>
              </w:rPr>
              <w:t>泄漏点为其他形状，无法钉竹钎子，可采用引流式带液打卡子焊接。</w:t>
            </w:r>
          </w:p>
          <w:p>
            <w:pPr>
              <w:spacing w:line="360" w:lineRule="auto"/>
              <w:ind w:firstLine="480" w:firstLineChars="200"/>
              <w:rPr>
                <w:kern w:val="0"/>
                <w:lang w:bidi="ar"/>
              </w:rPr>
            </w:pPr>
            <w:r>
              <w:rPr>
                <w:kern w:val="0"/>
                <w:lang w:bidi="ar"/>
              </w:rPr>
              <w:t>④暴露管线断裂大量泄漏</w:t>
            </w:r>
          </w:p>
          <w:p>
            <w:pPr>
              <w:spacing w:line="360" w:lineRule="auto"/>
              <w:ind w:firstLine="480" w:firstLineChars="200"/>
              <w:rPr>
                <w:kern w:val="0"/>
                <w:lang w:bidi="ar"/>
              </w:rPr>
            </w:pPr>
            <w:r>
              <w:rPr>
                <w:kern w:val="0"/>
                <w:lang w:bidi="ar"/>
              </w:rPr>
              <w:t>关闭上下游截断阀，警戒人员对周围布置警戒线，禁止无关人员和车辆进入，做好人员疏散工作。应急设备、设施要求见表6-1。</w:t>
            </w:r>
          </w:p>
          <w:p>
            <w:pPr>
              <w:jc w:val="center"/>
              <w:rPr>
                <w:szCs w:val="21"/>
              </w:rPr>
            </w:pPr>
            <w:r>
              <w:rPr>
                <w:b/>
                <w:bCs/>
                <w:szCs w:val="21"/>
              </w:rPr>
              <w:t>表6-1      应急设备、设施要求</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428" w:type="dxa"/>
                  <w:vAlign w:val="center"/>
                </w:tcPr>
                <w:p>
                  <w:pPr>
                    <w:jc w:val="center"/>
                    <w:rPr>
                      <w:b/>
                      <w:bCs/>
                      <w:szCs w:val="21"/>
                    </w:rPr>
                  </w:pPr>
                  <w:r>
                    <w:rPr>
                      <w:b/>
                      <w:bCs/>
                      <w:szCs w:val="21"/>
                    </w:rPr>
                    <w:t>应急设备、设施</w:t>
                  </w:r>
                </w:p>
              </w:tc>
              <w:tc>
                <w:tcPr>
                  <w:tcW w:w="4427" w:type="dxa"/>
                  <w:vAlign w:val="center"/>
                </w:tcPr>
                <w:p>
                  <w:pPr>
                    <w:jc w:val="center"/>
                    <w:rPr>
                      <w:b/>
                      <w:bCs/>
                      <w:szCs w:val="21"/>
                    </w:rPr>
                  </w:pPr>
                  <w:r>
                    <w:rPr>
                      <w:b/>
                      <w:bCs/>
                      <w:szCs w:val="21"/>
                    </w:rPr>
                    <w:t>运行状态标准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8" w:type="dxa"/>
                  <w:vAlign w:val="center"/>
                </w:tcPr>
                <w:p>
                  <w:pPr>
                    <w:jc w:val="center"/>
                    <w:rPr>
                      <w:szCs w:val="21"/>
                    </w:rPr>
                  </w:pPr>
                  <w:r>
                    <w:rPr>
                      <w:szCs w:val="21"/>
                    </w:rPr>
                    <w:t>手电、应急灯、湿毛巾</w:t>
                  </w:r>
                </w:p>
              </w:tc>
              <w:tc>
                <w:tcPr>
                  <w:tcW w:w="4427" w:type="dxa"/>
                  <w:vAlign w:val="center"/>
                </w:tcPr>
                <w:p>
                  <w:pPr>
                    <w:jc w:val="center"/>
                    <w:rPr>
                      <w:szCs w:val="21"/>
                    </w:rPr>
                  </w:pPr>
                  <w:r>
                    <w:rPr>
                      <w:szCs w:val="21"/>
                    </w:rPr>
                    <w:t>保证现场照明及维修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8" w:type="dxa"/>
                  <w:vAlign w:val="center"/>
                </w:tcPr>
                <w:p>
                  <w:pPr>
                    <w:jc w:val="center"/>
                    <w:rPr>
                      <w:szCs w:val="21"/>
                    </w:rPr>
                  </w:pPr>
                  <w:r>
                    <w:rPr>
                      <w:szCs w:val="21"/>
                    </w:rPr>
                    <w:t>维修工具</w:t>
                  </w:r>
                </w:p>
              </w:tc>
              <w:tc>
                <w:tcPr>
                  <w:tcW w:w="4427" w:type="dxa"/>
                  <w:vAlign w:val="center"/>
                </w:tcPr>
                <w:p>
                  <w:pPr>
                    <w:jc w:val="center"/>
                    <w:rPr>
                      <w:szCs w:val="21"/>
                    </w:rPr>
                  </w:pPr>
                  <w:r>
                    <w:rPr>
                      <w:szCs w:val="21"/>
                    </w:rPr>
                    <w:t>恢复、更换设备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28" w:type="dxa"/>
                  <w:vAlign w:val="center"/>
                </w:tcPr>
                <w:p>
                  <w:pPr>
                    <w:jc w:val="center"/>
                    <w:rPr>
                      <w:szCs w:val="21"/>
                    </w:rPr>
                  </w:pPr>
                  <w:r>
                    <w:rPr>
                      <w:szCs w:val="21"/>
                    </w:rPr>
                    <w:t>警戒带、灭火器</w:t>
                  </w:r>
                </w:p>
              </w:tc>
              <w:tc>
                <w:tcPr>
                  <w:tcW w:w="4427" w:type="dxa"/>
                  <w:vAlign w:val="center"/>
                </w:tcPr>
                <w:p>
                  <w:pPr>
                    <w:jc w:val="center"/>
                    <w:rPr>
                      <w:szCs w:val="21"/>
                    </w:rPr>
                  </w:pPr>
                  <w:r>
                    <w:rPr>
                      <w:szCs w:val="21"/>
                    </w:rPr>
                    <w:t>封闭现场、扑救应急火情</w:t>
                  </w:r>
                </w:p>
              </w:tc>
            </w:tr>
          </w:tbl>
          <w:p>
            <w:pPr>
              <w:spacing w:line="360" w:lineRule="auto"/>
              <w:ind w:firstLine="480" w:firstLineChars="200"/>
              <w:rPr>
                <w:kern w:val="0"/>
                <w:lang w:bidi="ar"/>
              </w:rPr>
            </w:pPr>
            <w:r>
              <w:rPr>
                <w:kern w:val="0"/>
                <w:lang w:bidi="ar"/>
              </w:rPr>
              <w:t>（6）应急监测计划</w:t>
            </w:r>
          </w:p>
          <w:p>
            <w:pPr>
              <w:spacing w:line="360" w:lineRule="auto"/>
              <w:ind w:firstLine="480" w:firstLineChars="200"/>
              <w:rPr>
                <w:kern w:val="0"/>
                <w:lang w:bidi="ar"/>
              </w:rPr>
            </w:pPr>
            <w:r>
              <w:rPr>
                <w:kern w:val="0"/>
                <w:lang w:bidi="ar"/>
              </w:rPr>
              <w:t>拟建项目一旦发生突发事故，应按照应急预案启动应急监测，随时掌握事故影响的范围和程度。应急监测可依托当地环境监测力量，针对不同事故应启动相应的监测计划，详见表6-2。</w:t>
            </w:r>
          </w:p>
          <w:p>
            <w:pPr>
              <w:jc w:val="center"/>
              <w:rPr>
                <w:b/>
                <w:bCs/>
                <w:kern w:val="0"/>
                <w:szCs w:val="21"/>
                <w:lang w:bidi="ar"/>
              </w:rPr>
            </w:pPr>
            <w:r>
              <w:rPr>
                <w:b/>
                <w:bCs/>
                <w:kern w:val="0"/>
                <w:szCs w:val="21"/>
                <w:lang w:bidi="ar"/>
              </w:rPr>
              <w:t>表6-2      应急监测计划</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222"/>
              <w:gridCol w:w="3503"/>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vAlign w:val="center"/>
                </w:tcPr>
                <w:p>
                  <w:pPr>
                    <w:jc w:val="center"/>
                    <w:rPr>
                      <w:b/>
                      <w:bCs/>
                      <w:kern w:val="0"/>
                      <w:szCs w:val="21"/>
                      <w:lang w:bidi="ar"/>
                    </w:rPr>
                  </w:pPr>
                  <w:r>
                    <w:rPr>
                      <w:b/>
                      <w:bCs/>
                      <w:kern w:val="0"/>
                      <w:szCs w:val="21"/>
                      <w:lang w:bidi="ar"/>
                    </w:rPr>
                    <w:t>事故类型</w:t>
                  </w:r>
                </w:p>
              </w:tc>
              <w:tc>
                <w:tcPr>
                  <w:tcW w:w="2222" w:type="dxa"/>
                  <w:vAlign w:val="center"/>
                </w:tcPr>
                <w:p>
                  <w:pPr>
                    <w:jc w:val="center"/>
                    <w:rPr>
                      <w:b/>
                      <w:bCs/>
                      <w:kern w:val="0"/>
                      <w:szCs w:val="21"/>
                      <w:lang w:bidi="ar"/>
                    </w:rPr>
                  </w:pPr>
                  <w:r>
                    <w:rPr>
                      <w:b/>
                      <w:bCs/>
                      <w:kern w:val="0"/>
                      <w:szCs w:val="21"/>
                      <w:lang w:bidi="ar"/>
                    </w:rPr>
                    <w:t>监测项目</w:t>
                  </w:r>
                </w:p>
              </w:tc>
              <w:tc>
                <w:tcPr>
                  <w:tcW w:w="3503" w:type="dxa"/>
                  <w:vAlign w:val="center"/>
                </w:tcPr>
                <w:p>
                  <w:pPr>
                    <w:jc w:val="center"/>
                    <w:rPr>
                      <w:b/>
                      <w:bCs/>
                      <w:kern w:val="0"/>
                      <w:szCs w:val="21"/>
                      <w:lang w:bidi="ar"/>
                    </w:rPr>
                  </w:pPr>
                  <w:r>
                    <w:rPr>
                      <w:b/>
                      <w:bCs/>
                      <w:kern w:val="0"/>
                      <w:szCs w:val="21"/>
                      <w:lang w:bidi="ar"/>
                    </w:rPr>
                    <w:t>监测点位</w:t>
                  </w:r>
                </w:p>
              </w:tc>
              <w:tc>
                <w:tcPr>
                  <w:tcW w:w="1989" w:type="dxa"/>
                  <w:vAlign w:val="center"/>
                </w:tcPr>
                <w:p>
                  <w:pPr>
                    <w:jc w:val="center"/>
                    <w:rPr>
                      <w:b/>
                      <w:bCs/>
                      <w:kern w:val="0"/>
                      <w:szCs w:val="21"/>
                      <w:lang w:bidi="ar"/>
                    </w:rPr>
                  </w:pPr>
                  <w:r>
                    <w:rPr>
                      <w:b/>
                      <w:bCs/>
                      <w:kern w:val="0"/>
                      <w:szCs w:val="21"/>
                      <w:lang w:bidi="ar"/>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vAlign w:val="center"/>
                </w:tcPr>
                <w:p>
                  <w:pPr>
                    <w:jc w:val="center"/>
                    <w:rPr>
                      <w:kern w:val="0"/>
                      <w:szCs w:val="21"/>
                      <w:lang w:bidi="ar"/>
                    </w:rPr>
                  </w:pPr>
                  <w:r>
                    <w:rPr>
                      <w:kern w:val="0"/>
                      <w:szCs w:val="21"/>
                      <w:lang w:bidi="ar"/>
                    </w:rPr>
                    <w:t>泄露</w:t>
                  </w:r>
                </w:p>
              </w:tc>
              <w:tc>
                <w:tcPr>
                  <w:tcW w:w="2222" w:type="dxa"/>
                  <w:vAlign w:val="center"/>
                </w:tcPr>
                <w:p>
                  <w:pPr>
                    <w:jc w:val="center"/>
                    <w:rPr>
                      <w:kern w:val="0"/>
                      <w:szCs w:val="21"/>
                      <w:lang w:bidi="ar"/>
                    </w:rPr>
                  </w:pPr>
                  <w:r>
                    <w:rPr>
                      <w:kern w:val="0"/>
                      <w:szCs w:val="21"/>
                      <w:lang w:bidi="ar"/>
                    </w:rPr>
                    <w:t>甲烷、非甲烷总烃</w:t>
                  </w:r>
                </w:p>
              </w:tc>
              <w:tc>
                <w:tcPr>
                  <w:tcW w:w="3503" w:type="dxa"/>
                  <w:vMerge w:val="restart"/>
                  <w:vAlign w:val="center"/>
                </w:tcPr>
                <w:p>
                  <w:pPr>
                    <w:jc w:val="center"/>
                    <w:rPr>
                      <w:kern w:val="0"/>
                      <w:szCs w:val="21"/>
                      <w:lang w:bidi="ar"/>
                    </w:rPr>
                  </w:pPr>
                  <w:r>
                    <w:rPr>
                      <w:kern w:val="0"/>
                      <w:szCs w:val="21"/>
                      <w:lang w:bidi="ar"/>
                    </w:rPr>
                    <w:t>视事故级别，在事故源下风向5m、10m、20m、40m等处设置监测点；附近分布有居民区等环境敏感点</w:t>
                  </w:r>
                  <w:r>
                    <w:rPr>
                      <w:rFonts w:hint="eastAsia"/>
                      <w:kern w:val="0"/>
                      <w:szCs w:val="21"/>
                      <w:lang w:eastAsia="zh-CN" w:bidi="ar"/>
                    </w:rPr>
                    <w:t>，</w:t>
                  </w:r>
                  <w:r>
                    <w:rPr>
                      <w:kern w:val="0"/>
                      <w:szCs w:val="21"/>
                      <w:lang w:bidi="ar"/>
                    </w:rPr>
                    <w:t>监测点应能代表敏感区污染物浓度</w:t>
                  </w:r>
                </w:p>
              </w:tc>
              <w:tc>
                <w:tcPr>
                  <w:tcW w:w="1989" w:type="dxa"/>
                  <w:vMerge w:val="restart"/>
                  <w:vAlign w:val="center"/>
                </w:tcPr>
                <w:p>
                  <w:pPr>
                    <w:jc w:val="center"/>
                    <w:rPr>
                      <w:kern w:val="0"/>
                      <w:szCs w:val="21"/>
                      <w:lang w:bidi="ar"/>
                    </w:rPr>
                  </w:pPr>
                  <w:r>
                    <w:rPr>
                      <w:kern w:val="0"/>
                      <w:szCs w:val="21"/>
                      <w:lang w:bidi="ar"/>
                    </w:rPr>
                    <w:t>事故发生1h内每15min取样进行监测，事故后4h、10h、24h各监测一次；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1" w:type="dxa"/>
                  <w:vAlign w:val="center"/>
                </w:tcPr>
                <w:p>
                  <w:pPr>
                    <w:jc w:val="center"/>
                    <w:rPr>
                      <w:kern w:val="0"/>
                      <w:szCs w:val="21"/>
                      <w:lang w:bidi="ar"/>
                    </w:rPr>
                  </w:pPr>
                  <w:r>
                    <w:rPr>
                      <w:kern w:val="0"/>
                      <w:szCs w:val="21"/>
                      <w:lang w:bidi="ar"/>
                    </w:rPr>
                    <w:t>火灾</w:t>
                  </w:r>
                </w:p>
              </w:tc>
              <w:tc>
                <w:tcPr>
                  <w:tcW w:w="2222" w:type="dxa"/>
                  <w:vAlign w:val="center"/>
                </w:tcPr>
                <w:p>
                  <w:pPr>
                    <w:jc w:val="center"/>
                    <w:rPr>
                      <w:kern w:val="0"/>
                      <w:szCs w:val="21"/>
                      <w:lang w:bidi="ar"/>
                    </w:rPr>
                  </w:pPr>
                  <w:r>
                    <w:rPr>
                      <w:kern w:val="0"/>
                      <w:szCs w:val="21"/>
                      <w:lang w:bidi="ar"/>
                    </w:rPr>
                    <w:t>烟尘、SO</w:t>
                  </w:r>
                  <w:r>
                    <w:rPr>
                      <w:kern w:val="0"/>
                      <w:szCs w:val="21"/>
                      <w:vertAlign w:val="subscript"/>
                      <w:lang w:bidi="ar"/>
                    </w:rPr>
                    <w:t>2</w:t>
                  </w:r>
                  <w:r>
                    <w:rPr>
                      <w:kern w:val="0"/>
                      <w:szCs w:val="21"/>
                      <w:lang w:bidi="ar"/>
                    </w:rPr>
                    <w:t>、NO</w:t>
                  </w:r>
                  <w:r>
                    <w:rPr>
                      <w:kern w:val="0"/>
                      <w:szCs w:val="21"/>
                      <w:vertAlign w:val="subscript"/>
                      <w:lang w:bidi="ar"/>
                    </w:rPr>
                    <w:t>X</w:t>
                  </w:r>
                </w:p>
              </w:tc>
              <w:tc>
                <w:tcPr>
                  <w:tcW w:w="3503" w:type="dxa"/>
                  <w:vMerge w:val="continue"/>
                  <w:vAlign w:val="center"/>
                </w:tcPr>
                <w:p>
                  <w:pPr>
                    <w:jc w:val="center"/>
                    <w:rPr>
                      <w:kern w:val="0"/>
                      <w:szCs w:val="21"/>
                      <w:lang w:bidi="ar"/>
                    </w:rPr>
                  </w:pPr>
                </w:p>
              </w:tc>
              <w:tc>
                <w:tcPr>
                  <w:tcW w:w="1989" w:type="dxa"/>
                  <w:vMerge w:val="continue"/>
                  <w:vAlign w:val="center"/>
                </w:tcPr>
                <w:p>
                  <w:pPr>
                    <w:jc w:val="center"/>
                    <w:rPr>
                      <w:kern w:val="0"/>
                      <w:szCs w:val="21"/>
                      <w:lang w:bidi="ar"/>
                    </w:rPr>
                  </w:pPr>
                </w:p>
              </w:tc>
            </w:tr>
          </w:tbl>
          <w:p>
            <w:r>
              <w:rPr>
                <w:szCs w:val="21"/>
              </w:rPr>
              <w:t>注：应急指挥部对监测频次作出具体要求时，监测频次应按应急指挥部要求执行。</w:t>
            </w:r>
          </w:p>
          <w:p>
            <w:pPr>
              <w:spacing w:line="360" w:lineRule="auto"/>
              <w:ind w:firstLine="480" w:firstLineChars="200"/>
            </w:pPr>
            <w:r>
              <w:t>（7）应急状态解除</w:t>
            </w:r>
          </w:p>
          <w:p>
            <w:pPr>
              <w:spacing w:line="360" w:lineRule="auto"/>
              <w:ind w:firstLine="480" w:firstLineChars="200"/>
            </w:pPr>
            <w:r>
              <w:t>当现场周边环境污染已经得到有效控制，环境污染隐患基本消除，次生、衍生事故隐患已经得到有效控制，受伤、中毒人员得到妥善救治和安置，经过评估确认后，应急指挥组提出解除现场应急状态的建议，向公司环境突发事件应急指挥部报告并征得同意后，由环境突发事件应急组长</w:t>
            </w:r>
            <w:r>
              <w:rPr>
                <w:rFonts w:hint="eastAsia"/>
                <w:lang w:eastAsia="zh-CN"/>
              </w:rPr>
              <w:t>宣布解除</w:t>
            </w:r>
            <w:r>
              <w:t>应急状态。</w:t>
            </w:r>
          </w:p>
          <w:p>
            <w:pPr>
              <w:spacing w:line="360" w:lineRule="auto"/>
              <w:ind w:firstLine="480" w:firstLineChars="200"/>
            </w:pPr>
            <w:r>
              <w:t>（8）应急培训及演练</w:t>
            </w:r>
          </w:p>
          <w:p>
            <w:pPr>
              <w:spacing w:line="360" w:lineRule="auto"/>
              <w:ind w:firstLine="480" w:firstLineChars="200"/>
            </w:pPr>
            <w:r>
              <w:t>应急计划制定后，针对应急救援的基本要求，系统培训操作人员，发生各级危险废物事故时报名、紧急处置、逃生、个体防护、急救、紧急疏散等程序的基本要求。并对应急预案进行演练。</w:t>
            </w:r>
          </w:p>
          <w:p>
            <w:pPr>
              <w:spacing w:line="360" w:lineRule="auto"/>
              <w:ind w:firstLine="480" w:firstLineChars="200"/>
            </w:pPr>
            <w:r>
              <w:t>对企业邻近地区开展公众宣传和发布本企业有关安全生产的基本信息，加强与周边公众的交流，如发生事故，可以更好的疏散、防护污染。采取的方式：口头宣传、应急救援知识讲座等。</w:t>
            </w:r>
          </w:p>
          <w:p>
            <w:pPr>
              <w:spacing w:line="360" w:lineRule="auto"/>
              <w:ind w:firstLine="480" w:firstLineChars="200"/>
            </w:pPr>
            <w:r>
              <w:t>（9）环境应急预案</w:t>
            </w:r>
          </w:p>
          <w:p>
            <w:pPr>
              <w:spacing w:line="360" w:lineRule="auto"/>
              <w:rPr>
                <w:b/>
                <w:bCs/>
                <w:lang w:bidi="ar"/>
              </w:rPr>
            </w:pPr>
            <w:r>
              <w:t>拟建工程必须制定相关的环境风险应急预案。</w:t>
            </w:r>
          </w:p>
          <w:p>
            <w:pPr>
              <w:spacing w:line="360" w:lineRule="auto"/>
              <w:rPr>
                <w:b/>
                <w:bCs/>
                <w:lang w:bidi="ar"/>
              </w:rPr>
            </w:pPr>
            <w:r>
              <w:rPr>
                <w:b/>
                <w:bCs/>
                <w:lang w:bidi="ar"/>
              </w:rPr>
              <w:t>6分析结论</w:t>
            </w:r>
          </w:p>
          <w:p>
            <w:pPr>
              <w:spacing w:line="360" w:lineRule="auto"/>
              <w:ind w:firstLine="480" w:firstLineChars="200"/>
            </w:pPr>
            <w:r>
              <w:rPr>
                <w:lang w:bidi="ar"/>
              </w:rPr>
              <w:t>项目环境风险简单分析详见表6.2-3。</w:t>
            </w:r>
          </w:p>
          <w:p>
            <w:pPr>
              <w:keepNext/>
              <w:keepLines/>
              <w:autoSpaceDE w:val="0"/>
              <w:jc w:val="center"/>
              <w:rPr>
                <w:b/>
                <w:sz w:val="21"/>
                <w:szCs w:val="21"/>
              </w:rPr>
            </w:pPr>
            <w:r>
              <w:rPr>
                <w:b/>
                <w:sz w:val="21"/>
                <w:szCs w:val="21"/>
                <w:lang w:bidi="ar"/>
              </w:rPr>
              <w:t>表6.2-3       建设项目环境风险简单分析内容表</w:t>
            </w:r>
          </w:p>
          <w:tbl>
            <w:tblPr>
              <w:tblStyle w:val="23"/>
              <w:tblW w:w="4999" w:type="pct"/>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108" w:type="dxa"/>
                <w:bottom w:w="0" w:type="dxa"/>
                <w:right w:w="108" w:type="dxa"/>
              </w:tblCellMar>
            </w:tblPr>
            <w:tblGrid>
              <w:gridCol w:w="1960"/>
              <w:gridCol w:w="1055"/>
              <w:gridCol w:w="1999"/>
              <w:gridCol w:w="1088"/>
              <w:gridCol w:w="2803"/>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100" w:type="pct"/>
                  <w:tcBorders>
                    <w:top w:val="single" w:color="000000" w:sz="12" w:space="0"/>
                    <w:left w:val="nil"/>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建设项目名称</w:t>
                  </w:r>
                </w:p>
              </w:tc>
              <w:tc>
                <w:tcPr>
                  <w:tcW w:w="3899" w:type="pct"/>
                  <w:gridSpan w:val="4"/>
                  <w:tcBorders>
                    <w:top w:val="single" w:color="000000" w:sz="12" w:space="0"/>
                    <w:left w:val="single" w:color="000000" w:sz="4" w:space="0"/>
                    <w:bottom w:val="single" w:color="000000" w:sz="4" w:space="0"/>
                    <w:right w:val="nil"/>
                  </w:tcBorders>
                  <w:vAlign w:val="center"/>
                </w:tcPr>
                <w:p>
                  <w:pPr>
                    <w:adjustRightInd w:val="0"/>
                    <w:snapToGrid w:val="0"/>
                    <w:ind w:left="-120" w:leftChars="-50" w:right="-120" w:rightChars="-50"/>
                    <w:jc w:val="center"/>
                    <w:rPr>
                      <w:sz w:val="21"/>
                      <w:szCs w:val="21"/>
                      <w:lang w:bidi="ar"/>
                    </w:rPr>
                  </w:pPr>
                  <w:r>
                    <w:rPr>
                      <w:sz w:val="21"/>
                      <w:szCs w:val="21"/>
                      <w:lang w:bidi="ar"/>
                    </w:rPr>
                    <w:t>喀什综合保税区建设项目（非民航工程一期）燃气管道建设项目</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1100" w:type="pct"/>
                  <w:tcBorders>
                    <w:top w:val="single" w:color="000000" w:sz="4" w:space="0"/>
                    <w:left w:val="nil"/>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建设地点</w:t>
                  </w:r>
                </w:p>
              </w:tc>
              <w:tc>
                <w:tcPr>
                  <w:tcW w:w="1714" w:type="pct"/>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新疆维吾尔自治区</w:t>
                  </w:r>
                </w:p>
              </w:tc>
              <w:tc>
                <w:tcPr>
                  <w:tcW w:w="2184" w:type="pct"/>
                  <w:gridSpan w:val="2"/>
                  <w:tcBorders>
                    <w:top w:val="single" w:color="000000" w:sz="4" w:space="0"/>
                    <w:left w:val="single" w:color="000000" w:sz="4" w:space="0"/>
                    <w:bottom w:val="single" w:color="000000" w:sz="4" w:space="0"/>
                    <w:right w:val="nil"/>
                  </w:tcBorders>
                  <w:vAlign w:val="center"/>
                </w:tcPr>
                <w:p>
                  <w:pPr>
                    <w:adjustRightInd w:val="0"/>
                    <w:snapToGrid w:val="0"/>
                    <w:ind w:left="-120" w:leftChars="-50" w:right="-120" w:rightChars="-50"/>
                    <w:jc w:val="center"/>
                    <w:rPr>
                      <w:sz w:val="21"/>
                      <w:szCs w:val="21"/>
                    </w:rPr>
                  </w:pPr>
                  <w:r>
                    <w:rPr>
                      <w:sz w:val="21"/>
                      <w:szCs w:val="21"/>
                    </w:rPr>
                    <w:t>喀什市经济开发区综合保税区</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1100" w:type="pct"/>
                  <w:tcBorders>
                    <w:top w:val="single" w:color="000000" w:sz="4" w:space="0"/>
                    <w:left w:val="nil"/>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地理坐标</w:t>
                  </w:r>
                </w:p>
              </w:tc>
              <w:tc>
                <w:tcPr>
                  <w:tcW w:w="592"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20" w:leftChars="-50" w:right="-120" w:rightChars="-50"/>
                    <w:jc w:val="center"/>
                    <w:rPr>
                      <w:sz w:val="21"/>
                      <w:szCs w:val="21"/>
                      <w:lang w:bidi="ar"/>
                    </w:rPr>
                  </w:pPr>
                  <w:r>
                    <w:rPr>
                      <w:sz w:val="21"/>
                      <w:szCs w:val="21"/>
                      <w:lang w:bidi="ar"/>
                    </w:rPr>
                    <w:t>经度</w:t>
                  </w:r>
                </w:p>
              </w:tc>
              <w:tc>
                <w:tcPr>
                  <w:tcW w:w="112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20" w:leftChars="-50" w:right="-120" w:rightChars="-50"/>
                    <w:jc w:val="center"/>
                    <w:rPr>
                      <w:sz w:val="21"/>
                      <w:szCs w:val="21"/>
                      <w:lang w:bidi="ar"/>
                    </w:rPr>
                  </w:pPr>
                  <w:r>
                    <w:rPr>
                      <w:sz w:val="21"/>
                      <w:szCs w:val="21"/>
                      <w:lang w:bidi="ar"/>
                    </w:rPr>
                    <w:t>起点：76°01′52.16″E，终点：76°03′04.00″E。</w:t>
                  </w:r>
                </w:p>
              </w:tc>
              <w:tc>
                <w:tcPr>
                  <w:tcW w:w="611"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120" w:leftChars="-50" w:right="-120" w:rightChars="-50"/>
                    <w:jc w:val="center"/>
                    <w:rPr>
                      <w:sz w:val="21"/>
                      <w:szCs w:val="21"/>
                      <w:lang w:bidi="ar"/>
                    </w:rPr>
                  </w:pPr>
                  <w:r>
                    <w:rPr>
                      <w:sz w:val="21"/>
                      <w:szCs w:val="21"/>
                      <w:lang w:bidi="ar"/>
                    </w:rPr>
                    <w:t>纬度</w:t>
                  </w:r>
                </w:p>
              </w:tc>
              <w:tc>
                <w:tcPr>
                  <w:tcW w:w="1572" w:type="pct"/>
                  <w:tcBorders>
                    <w:top w:val="single" w:color="000000" w:sz="4" w:space="0"/>
                    <w:left w:val="single" w:color="000000" w:sz="4" w:space="0"/>
                    <w:bottom w:val="single" w:color="000000" w:sz="4" w:space="0"/>
                    <w:right w:val="nil"/>
                  </w:tcBorders>
                  <w:vAlign w:val="center"/>
                </w:tcPr>
                <w:p>
                  <w:pPr>
                    <w:adjustRightInd w:val="0"/>
                    <w:snapToGrid w:val="0"/>
                    <w:ind w:left="-120" w:leftChars="-50" w:right="-120" w:rightChars="-50"/>
                    <w:jc w:val="center"/>
                    <w:rPr>
                      <w:sz w:val="21"/>
                      <w:szCs w:val="21"/>
                      <w:lang w:bidi="ar"/>
                    </w:rPr>
                  </w:pPr>
                  <w:r>
                    <w:rPr>
                      <w:sz w:val="21"/>
                      <w:szCs w:val="21"/>
                      <w:lang w:bidi="ar"/>
                    </w:rPr>
                    <w:t>起点：39°33′26.36″N，</w:t>
                  </w:r>
                </w:p>
                <w:p>
                  <w:pPr>
                    <w:adjustRightInd w:val="0"/>
                    <w:snapToGrid w:val="0"/>
                    <w:ind w:left="-120" w:leftChars="-50" w:right="-120" w:rightChars="-50"/>
                    <w:jc w:val="center"/>
                    <w:rPr>
                      <w:sz w:val="21"/>
                      <w:szCs w:val="21"/>
                      <w:lang w:bidi="ar"/>
                    </w:rPr>
                  </w:pPr>
                  <w:r>
                    <w:rPr>
                      <w:sz w:val="21"/>
                      <w:szCs w:val="21"/>
                      <w:lang w:bidi="ar"/>
                    </w:rPr>
                    <w:t>终点：39°32′36.40″N。</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2753" w:hRule="atLeast"/>
                <w:jc w:val="center"/>
              </w:trPr>
              <w:tc>
                <w:tcPr>
                  <w:tcW w:w="1100" w:type="pct"/>
                  <w:tcBorders>
                    <w:top w:val="single" w:color="000000" w:sz="4" w:space="0"/>
                    <w:left w:val="nil"/>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环境影响途径及危害后果</w:t>
                  </w:r>
                </w:p>
              </w:tc>
              <w:tc>
                <w:tcPr>
                  <w:tcW w:w="3899" w:type="pct"/>
                  <w:gridSpan w:val="4"/>
                  <w:tcBorders>
                    <w:top w:val="single" w:color="000000" w:sz="4" w:space="0"/>
                    <w:left w:val="single" w:color="000000" w:sz="4" w:space="0"/>
                    <w:bottom w:val="single" w:color="000000" w:sz="4" w:space="0"/>
                    <w:right w:val="nil"/>
                  </w:tcBorders>
                  <w:vAlign w:val="center"/>
                </w:tcPr>
                <w:p>
                  <w:pPr>
                    <w:adjustRightInd w:val="0"/>
                    <w:snapToGrid w:val="0"/>
                    <w:jc w:val="left"/>
                    <w:rPr>
                      <w:sz w:val="21"/>
                      <w:szCs w:val="21"/>
                    </w:rPr>
                  </w:pPr>
                  <w:r>
                    <w:rPr>
                      <w:sz w:val="21"/>
                      <w:szCs w:val="21"/>
                    </w:rPr>
                    <w:t>①活性炭吸附装置更换的废活性炭，是含有害气体的介质，若存放不当，会对周围环境及人造成危害；</w:t>
                  </w:r>
                </w:p>
                <w:p>
                  <w:pPr>
                    <w:adjustRightInd w:val="0"/>
                    <w:snapToGrid w:val="0"/>
                    <w:jc w:val="left"/>
                    <w:rPr>
                      <w:sz w:val="21"/>
                      <w:szCs w:val="21"/>
                    </w:rPr>
                  </w:pPr>
                  <w:r>
                    <w:rPr>
                      <w:sz w:val="21"/>
                      <w:szCs w:val="21"/>
                    </w:rPr>
                    <w:t>②废防疫装备属于危险废物，如果存放不妥当，可能引起区域污染，进一步污染大气等环境风险。</w:t>
                  </w:r>
                </w:p>
                <w:p>
                  <w:pPr>
                    <w:adjustRightInd w:val="0"/>
                    <w:snapToGrid w:val="0"/>
                    <w:rPr>
                      <w:sz w:val="21"/>
                      <w:szCs w:val="21"/>
                    </w:rPr>
                  </w:pPr>
                  <w:r>
                    <w:rPr>
                      <w:sz w:val="21"/>
                      <w:szCs w:val="21"/>
                    </w:rPr>
                    <w:t>③废气处理设施发生故障，导致未经处理的废气直接排入大气环境中，对周边大气环境造成短时间、突发性的污染。</w:t>
                  </w:r>
                </w:p>
                <w:p>
                  <w:pPr>
                    <w:pStyle w:val="29"/>
                    <w:spacing w:after="0" w:line="240" w:lineRule="auto"/>
                    <w:jc w:val="both"/>
                    <w:rPr>
                      <w:rFonts w:eastAsia="宋体"/>
                      <w:sz w:val="21"/>
                      <w:szCs w:val="21"/>
                    </w:rPr>
                  </w:pPr>
                  <w:r>
                    <w:rPr>
                      <w:rFonts w:eastAsia="宋体"/>
                      <w:kern w:val="2"/>
                      <w:sz w:val="21"/>
                      <w:szCs w:val="21"/>
                      <w:lang w:bidi="ar"/>
                    </w:rPr>
                    <w:t>④项目区用电设备居多，用电量大，如果不定期检查，容易引起火灾，火灾产生大量浓烟，主要污染物为二氧化碳、一氧化碳、畑尘、二氧化硫、氮氧化物等，浓度范围在数十至数百mg/m</w:t>
                  </w:r>
                  <w:r>
                    <w:rPr>
                      <w:rFonts w:eastAsia="宋体"/>
                      <w:kern w:val="2"/>
                      <w:sz w:val="21"/>
                      <w:szCs w:val="21"/>
                      <w:vertAlign w:val="superscript"/>
                      <w:lang w:bidi="ar"/>
                    </w:rPr>
                    <w:t>3</w:t>
                  </w:r>
                  <w:r>
                    <w:rPr>
                      <w:rFonts w:eastAsia="宋体"/>
                      <w:kern w:val="2"/>
                      <w:sz w:val="21"/>
                      <w:szCs w:val="21"/>
                      <w:lang w:bidi="ar"/>
                    </w:rPr>
                    <w:t>之间，对于下风向的环境空气质量在短时间内有较大影响。</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1100" w:type="pct"/>
                  <w:tcBorders>
                    <w:top w:val="single" w:color="000000" w:sz="4" w:space="0"/>
                    <w:left w:val="nil"/>
                    <w:bottom w:val="single" w:color="000000" w:sz="4"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风险防范措施</w:t>
                  </w:r>
                </w:p>
              </w:tc>
              <w:tc>
                <w:tcPr>
                  <w:tcW w:w="3899" w:type="pct"/>
                  <w:gridSpan w:val="4"/>
                  <w:tcBorders>
                    <w:top w:val="single" w:color="000000" w:sz="4" w:space="0"/>
                    <w:left w:val="single" w:color="000000" w:sz="4" w:space="0"/>
                    <w:bottom w:val="single" w:color="000000" w:sz="4" w:space="0"/>
                    <w:right w:val="nil"/>
                  </w:tcBorders>
                  <w:vAlign w:val="center"/>
                </w:tcPr>
                <w:p>
                  <w:pPr>
                    <w:adjustRightInd w:val="0"/>
                    <w:snapToGrid w:val="0"/>
                    <w:rPr>
                      <w:sz w:val="21"/>
                      <w:szCs w:val="21"/>
                    </w:rPr>
                  </w:pPr>
                  <w:r>
                    <w:rPr>
                      <w:sz w:val="21"/>
                      <w:szCs w:val="21"/>
                      <w:lang w:bidi="ar"/>
                    </w:rPr>
                    <w:t>①定期进行安全保护系统检查，截止阀、安全阀等应处于良好状态。加强日常维护与管理，定期检</w:t>
                  </w:r>
                  <w:r>
                    <w:rPr>
                      <w:rFonts w:hint="eastAsia"/>
                      <w:sz w:val="21"/>
                      <w:szCs w:val="21"/>
                      <w:lang w:eastAsia="zh-CN" w:bidi="ar"/>
                    </w:rPr>
                    <w:t>查</w:t>
                  </w:r>
                  <w:r>
                    <w:rPr>
                      <w:sz w:val="21"/>
                      <w:szCs w:val="21"/>
                      <w:lang w:bidi="ar"/>
                    </w:rPr>
                    <w:t>和测量管壁厚度。加强维护保养，所有管线、阀件都应固定牢靠、连接紧密、严密不漏。</w:t>
                  </w:r>
                </w:p>
                <w:p>
                  <w:pPr>
                    <w:adjustRightInd w:val="0"/>
                    <w:snapToGrid w:val="0"/>
                    <w:rPr>
                      <w:sz w:val="21"/>
                      <w:szCs w:val="21"/>
                      <w:lang w:bidi="ar"/>
                    </w:rPr>
                  </w:pPr>
                  <w:r>
                    <w:rPr>
                      <w:sz w:val="21"/>
                      <w:szCs w:val="21"/>
                      <w:lang w:bidi="ar"/>
                    </w:rPr>
                    <w:t>②本项目需要做好消防废水收集管网的建设，建立消防废水收集系统。厂内应设置事故水池（10m</w:t>
                  </w:r>
                  <w:r>
                    <w:rPr>
                      <w:sz w:val="21"/>
                      <w:szCs w:val="21"/>
                      <w:vertAlign w:val="superscript"/>
                      <w:lang w:bidi="ar"/>
                    </w:rPr>
                    <w:t>3</w:t>
                  </w:r>
                  <w:r>
                    <w:rPr>
                      <w:sz w:val="21"/>
                      <w:szCs w:val="21"/>
                      <w:lang w:bidi="ar"/>
                    </w:rPr>
                    <w:t>）和消防水池（15m</w:t>
                  </w:r>
                  <w:r>
                    <w:rPr>
                      <w:sz w:val="21"/>
                      <w:szCs w:val="21"/>
                      <w:vertAlign w:val="superscript"/>
                      <w:lang w:bidi="ar"/>
                    </w:rPr>
                    <w:t>3</w:t>
                  </w:r>
                  <w:r>
                    <w:rPr>
                      <w:sz w:val="21"/>
                      <w:szCs w:val="21"/>
                      <w:lang w:bidi="ar"/>
                    </w:rPr>
                    <w:t>），防止消防水对地表水造成污染。</w:t>
                  </w:r>
                </w:p>
                <w:p>
                  <w:pPr>
                    <w:adjustRightInd w:val="0"/>
                    <w:snapToGrid w:val="0"/>
                    <w:rPr>
                      <w:sz w:val="21"/>
                      <w:szCs w:val="21"/>
                      <w:lang w:bidi="ar"/>
                    </w:rPr>
                  </w:pPr>
                  <w:r>
                    <w:rPr>
                      <w:sz w:val="21"/>
                      <w:szCs w:val="21"/>
                      <w:lang w:bidi="ar"/>
                    </w:rPr>
                    <w:t>③本项目涉及有毒气体的使用，处理区周边设置气体探测装置，装置与熏蒸投药系统以及药剂回收系统联动，当检测到周边气体超过临界浓度，可以立即停止投药系统，并启动药剂回收系统，熏蒸系统在封闭空间运行，这样可以最大程度减少泄漏概率。</w:t>
                  </w:r>
                </w:p>
                <w:p>
                  <w:pPr>
                    <w:adjustRightInd w:val="0"/>
                    <w:snapToGrid w:val="0"/>
                    <w:rPr>
                      <w:sz w:val="21"/>
                      <w:szCs w:val="21"/>
                      <w:lang w:bidi="ar"/>
                    </w:rPr>
                  </w:pPr>
                  <w:r>
                    <w:rPr>
                      <w:sz w:val="21"/>
                      <w:szCs w:val="21"/>
                      <w:lang w:bidi="ar"/>
                    </w:rPr>
                    <w:t>④熏蒸过程中，根据系统的各个传感器，精准控制熏蒸时温度，维持在10℃左右，设备周边严禁使用明火，以防溴甲烷燃烧爆炸。</w:t>
                  </w:r>
                </w:p>
                <w:p>
                  <w:pPr>
                    <w:adjustRightInd w:val="0"/>
                    <w:snapToGrid w:val="0"/>
                    <w:rPr>
                      <w:sz w:val="21"/>
                      <w:szCs w:val="21"/>
                      <w:lang w:bidi="ar"/>
                    </w:rPr>
                  </w:pPr>
                  <w:r>
                    <w:rPr>
                      <w:sz w:val="21"/>
                      <w:szCs w:val="21"/>
                      <w:lang w:bidi="ar"/>
                    </w:rPr>
                    <w:t>⑤熏蒸处理区的安全距离是50m，熏蒸区处理过程50m严禁人员活动，并且建筑物也要保持这个安全距离。</w:t>
                  </w:r>
                </w:p>
                <w:p>
                  <w:pPr>
                    <w:adjustRightInd w:val="0"/>
                    <w:snapToGrid w:val="0"/>
                    <w:rPr>
                      <w:sz w:val="21"/>
                      <w:szCs w:val="21"/>
                      <w:lang w:bidi="ar"/>
                    </w:rPr>
                  </w:pPr>
                  <w:r>
                    <w:rPr>
                      <w:sz w:val="21"/>
                      <w:szCs w:val="21"/>
                      <w:lang w:bidi="ar"/>
                    </w:rPr>
                    <w:t>⑥项目产生的固体危险废物，严格管理要求，危废暂存间严格按照环评要求建设，固废分类储存，做到出入库有记录。</w:t>
                  </w:r>
                </w:p>
                <w:p>
                  <w:pPr>
                    <w:adjustRightInd w:val="0"/>
                    <w:snapToGrid w:val="0"/>
                    <w:rPr>
                      <w:sz w:val="21"/>
                      <w:szCs w:val="21"/>
                    </w:rPr>
                  </w:pPr>
                  <w:r>
                    <w:rPr>
                      <w:sz w:val="21"/>
                      <w:szCs w:val="21"/>
                      <w:lang w:bidi="ar"/>
                    </w:rPr>
                    <w:t>⑦火灾等事故发生后，应立即向有关环境管理部门报告，请求环境管理部门应急监测工作组进行应急监测，综合分析突发环境事故污染变化趋势，预测突发污染事故的发展情况和污染物的变化情况，作为突发环境事件应急决策的依据。</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108" w:type="dxa"/>
                  <w:bottom w:w="0" w:type="dxa"/>
                  <w:right w:w="108" w:type="dxa"/>
                </w:tblCellMar>
              </w:tblPrEx>
              <w:trPr>
                <w:trHeight w:val="895" w:hRule="atLeast"/>
                <w:jc w:val="center"/>
              </w:trPr>
              <w:tc>
                <w:tcPr>
                  <w:tcW w:w="1100" w:type="pct"/>
                  <w:tcBorders>
                    <w:top w:val="single" w:color="000000" w:sz="4" w:space="0"/>
                    <w:left w:val="nil"/>
                    <w:bottom w:val="single" w:color="000000" w:sz="12" w:space="0"/>
                    <w:right w:val="single" w:color="000000" w:sz="4" w:space="0"/>
                  </w:tcBorders>
                  <w:vAlign w:val="center"/>
                </w:tcPr>
                <w:p>
                  <w:pPr>
                    <w:adjustRightInd w:val="0"/>
                    <w:snapToGrid w:val="0"/>
                    <w:ind w:left="-120" w:leftChars="-50" w:right="-120" w:rightChars="-50"/>
                    <w:jc w:val="center"/>
                    <w:rPr>
                      <w:sz w:val="21"/>
                      <w:szCs w:val="21"/>
                    </w:rPr>
                  </w:pPr>
                  <w:r>
                    <w:rPr>
                      <w:sz w:val="21"/>
                      <w:szCs w:val="21"/>
                      <w:lang w:bidi="ar"/>
                    </w:rPr>
                    <w:t>填表说明（列出项目相关信息及评价说明）</w:t>
                  </w:r>
                </w:p>
              </w:tc>
              <w:tc>
                <w:tcPr>
                  <w:tcW w:w="3899" w:type="pct"/>
                  <w:gridSpan w:val="4"/>
                  <w:tcBorders>
                    <w:top w:val="single" w:color="000000" w:sz="4" w:space="0"/>
                    <w:left w:val="single" w:color="000000" w:sz="4" w:space="0"/>
                    <w:bottom w:val="single" w:color="000000" w:sz="12" w:space="0"/>
                    <w:right w:val="nil"/>
                  </w:tcBorders>
                  <w:vAlign w:val="center"/>
                </w:tcPr>
                <w:p>
                  <w:pPr>
                    <w:adjustRightInd w:val="0"/>
                    <w:snapToGrid w:val="0"/>
                    <w:ind w:left="-120" w:leftChars="-50" w:right="-120" w:rightChars="-50"/>
                    <w:jc w:val="center"/>
                    <w:rPr>
                      <w:sz w:val="21"/>
                      <w:szCs w:val="21"/>
                    </w:rPr>
                  </w:pPr>
                  <w:r>
                    <w:rPr>
                      <w:sz w:val="21"/>
                      <w:szCs w:val="21"/>
                      <w:lang w:bidi="ar"/>
                    </w:rPr>
                    <w:t>危险物质的总量与其临界量比值Q=0.1862，本项目环境风险潜势为Ⅰ；</w:t>
                  </w:r>
                </w:p>
              </w:tc>
            </w:tr>
          </w:tbl>
          <w:p>
            <w:pPr>
              <w:adjustRightInd w:val="0"/>
              <w:snapToGrid w:val="0"/>
              <w:spacing w:line="360" w:lineRule="auto"/>
              <w:ind w:firstLine="480" w:firstLineChars="200"/>
            </w:pPr>
          </w:p>
          <w:p>
            <w:pPr>
              <w:spacing w:line="360" w:lineRule="auto"/>
              <w:ind w:firstLine="480" w:firstLineChars="200"/>
            </w:pPr>
          </w:p>
        </w:tc>
      </w:tr>
    </w:tbl>
    <w:p>
      <w:pPr>
        <w:pStyle w:val="19"/>
        <w:adjustRightInd w:val="0"/>
        <w:snapToGrid w:val="0"/>
        <w:spacing w:before="0" w:beforeAutospacing="0" w:after="0" w:afterAutospacing="0"/>
        <w:jc w:val="center"/>
        <w:rPr>
          <w:rFonts w:ascii="Times New Roman" w:hAnsi="Times New Roman" w:eastAsia="黑体"/>
          <w:snapToGrid w:val="0"/>
          <w:sz w:val="30"/>
          <w:szCs w:val="30"/>
        </w:rPr>
      </w:pP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sectPr>
          <w:pgSz w:w="11906" w:h="16838"/>
          <w:pgMar w:top="1440" w:right="1800" w:bottom="1440" w:left="1800" w:header="851" w:footer="992" w:gutter="0"/>
          <w:cols w:space="425" w:num="1"/>
          <w:docGrid w:type="lines" w:linePitch="312" w:charSpace="0"/>
        </w:sectPr>
      </w:pP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七、生态环境保护措施监督检查清单</w:t>
      </w:r>
    </w:p>
    <w:tbl>
      <w:tblPr>
        <w:tblStyle w:val="23"/>
        <w:tblW w:w="49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793"/>
        <w:gridCol w:w="1599"/>
        <w:gridCol w:w="1317"/>
        <w:gridCol w:w="1908"/>
        <w:gridCol w:w="1075"/>
        <w:gridCol w:w="13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25" w:type="pct"/>
            <w:gridSpan w:val="2"/>
            <w:vMerge w:val="restart"/>
            <w:tcBorders>
              <w:tl2br w:val="single" w:color="auto" w:sz="4" w:space="0"/>
            </w:tcBorders>
            <w:vAlign w:val="center"/>
          </w:tcPr>
          <w:p>
            <w:pPr>
              <w:pStyle w:val="19"/>
              <w:adjustRightInd w:val="0"/>
              <w:snapToGrid w:val="0"/>
              <w:spacing w:before="93" w:beforeLines="30" w:beforeAutospacing="0" w:after="0" w:afterAutospacing="0"/>
              <w:jc w:val="right"/>
              <w:outlineLvl w:val="0"/>
              <w:rPr>
                <w:rFonts w:ascii="Times New Roman" w:hAnsi="Times New Roman" w:eastAsia="黑体"/>
                <w:kern w:val="2"/>
                <w:sz w:val="21"/>
                <w:szCs w:val="21"/>
              </w:rPr>
            </w:pPr>
            <w:r>
              <w:rPr>
                <w:rFonts w:ascii="Times New Roman" w:hAnsi="Times New Roman" w:eastAsia="黑体"/>
                <w:kern w:val="2"/>
                <w:sz w:val="21"/>
                <w:szCs w:val="21"/>
              </w:rPr>
              <w:t>内容</w:t>
            </w:r>
          </w:p>
          <w:p>
            <w:pPr>
              <w:pStyle w:val="19"/>
              <w:adjustRightInd w:val="0"/>
              <w:snapToGrid w:val="0"/>
              <w:spacing w:before="0" w:beforeAutospacing="0" w:after="0" w:afterAutospacing="0" w:line="14" w:lineRule="auto"/>
              <w:outlineLvl w:val="0"/>
              <w:rPr>
                <w:rFonts w:ascii="Times New Roman" w:hAnsi="Times New Roman" w:eastAsia="黑体"/>
                <w:kern w:val="2"/>
                <w:sz w:val="21"/>
                <w:szCs w:val="21"/>
              </w:rPr>
            </w:pPr>
            <w:r>
              <w:rPr>
                <w:rFonts w:ascii="Times New Roman" w:hAnsi="Times New Roman" w:eastAsia="黑体"/>
                <w:kern w:val="2"/>
                <w:sz w:val="21"/>
                <w:szCs w:val="21"/>
              </w:rPr>
              <w:t xml:space="preserve">  </w:t>
            </w:r>
          </w:p>
          <w:p>
            <w:pPr>
              <w:pStyle w:val="19"/>
              <w:adjustRightInd w:val="0"/>
              <w:snapToGrid w:val="0"/>
              <w:spacing w:before="0" w:beforeAutospacing="0" w:after="0" w:afterAutospacing="0"/>
              <w:jc w:val="both"/>
              <w:outlineLvl w:val="0"/>
              <w:rPr>
                <w:rFonts w:ascii="Times New Roman" w:hAnsi="Times New Roman" w:eastAsia="黑体"/>
                <w:kern w:val="2"/>
                <w:sz w:val="21"/>
                <w:szCs w:val="21"/>
              </w:rPr>
            </w:pPr>
            <w:r>
              <w:rPr>
                <w:rFonts w:ascii="Times New Roman" w:hAnsi="Times New Roman" w:eastAsia="黑体"/>
                <w:kern w:val="2"/>
                <w:sz w:val="21"/>
                <w:szCs w:val="21"/>
              </w:rPr>
              <w:t>要素</w:t>
            </w:r>
          </w:p>
        </w:tc>
        <w:tc>
          <w:tcPr>
            <w:tcW w:w="2836" w:type="pct"/>
            <w:gridSpan w:val="3"/>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施工期</w:t>
            </w:r>
          </w:p>
        </w:tc>
        <w:tc>
          <w:tcPr>
            <w:tcW w:w="1437" w:type="pct"/>
            <w:gridSpan w:val="2"/>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25" w:type="pct"/>
            <w:gridSpan w:val="2"/>
            <w:vMerge w:val="continue"/>
            <w:vAlign w:val="center"/>
          </w:tcPr>
          <w:p>
            <w:pPr>
              <w:pStyle w:val="19"/>
              <w:adjustRightInd w:val="0"/>
              <w:snapToGrid w:val="0"/>
              <w:spacing w:before="0" w:beforeAutospacing="0" w:after="0" w:afterAutospacing="0"/>
              <w:ind w:firstLine="840"/>
              <w:jc w:val="center"/>
              <w:outlineLvl w:val="0"/>
              <w:rPr>
                <w:rFonts w:ascii="Times New Roman" w:hAnsi="Times New Roman" w:eastAsia="黑体"/>
                <w:kern w:val="2"/>
                <w:sz w:val="21"/>
                <w:szCs w:val="21"/>
              </w:rPr>
            </w:pPr>
          </w:p>
        </w:tc>
        <w:tc>
          <w:tcPr>
            <w:tcW w:w="1714" w:type="pct"/>
            <w:gridSpan w:val="2"/>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1122" w:type="pct"/>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632" w:type="pct"/>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804" w:type="pct"/>
            <w:vAlign w:val="center"/>
          </w:tcPr>
          <w:p>
            <w:pPr>
              <w:pStyle w:val="19"/>
              <w:adjustRightInd w:val="0"/>
              <w:snapToGrid w:val="0"/>
              <w:spacing w:before="0" w:beforeAutospacing="0" w:after="0" w:afterAutospacing="0"/>
              <w:jc w:val="center"/>
              <w:outlineLvl w:val="0"/>
              <w:rPr>
                <w:rFonts w:ascii="Times New Roman" w:hAnsi="Times New Roman" w:eastAsia="黑体"/>
                <w:kern w:val="2"/>
                <w:sz w:val="21"/>
                <w:szCs w:val="21"/>
              </w:rPr>
            </w:pPr>
            <w:r>
              <w:rPr>
                <w:rFonts w:ascii="Times New Roman" w:hAnsi="Times New Roman" w:eastAsia="黑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陆生生态</w:t>
            </w:r>
          </w:p>
        </w:tc>
        <w:tc>
          <w:tcPr>
            <w:tcW w:w="1714" w:type="pct"/>
            <w:gridSpan w:val="2"/>
            <w:vAlign w:val="center"/>
          </w:tcPr>
          <w:p>
            <w:pPr>
              <w:ind w:left="-120" w:leftChars="-50" w:right="-120" w:rightChars="-50"/>
              <w:jc w:val="center"/>
              <w:rPr>
                <w:sz w:val="21"/>
                <w:szCs w:val="21"/>
              </w:rPr>
            </w:pPr>
            <w:r>
              <w:rPr>
                <w:sz w:val="21"/>
                <w:szCs w:val="21"/>
                <w:lang w:bidi="ar"/>
              </w:rPr>
              <w:t>施工结束后恢复施工迹地，对施工迹地和弃方进行合理平整、利用，对利用料堆放场占地区进行清理、土地平整后撒播草籽，种植树木，草种树种选择当地适生耐旱品种，撒播种植时间可在春季</w:t>
            </w:r>
          </w:p>
        </w:tc>
        <w:tc>
          <w:tcPr>
            <w:tcW w:w="1122" w:type="pct"/>
            <w:vAlign w:val="center"/>
          </w:tcPr>
          <w:p>
            <w:pPr>
              <w:ind w:left="-120" w:leftChars="-50" w:right="-120" w:rightChars="-50"/>
              <w:jc w:val="center"/>
              <w:rPr>
                <w:sz w:val="21"/>
                <w:szCs w:val="21"/>
              </w:rPr>
            </w:pPr>
            <w:r>
              <w:rPr>
                <w:sz w:val="21"/>
                <w:szCs w:val="21"/>
                <w:lang w:bidi="ar"/>
              </w:rPr>
              <w:t>现场无弃土、施工场地地貌已恢复</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水生生态</w:t>
            </w:r>
          </w:p>
        </w:tc>
        <w:tc>
          <w:tcPr>
            <w:tcW w:w="1714" w:type="pct"/>
            <w:gridSpan w:val="2"/>
            <w:vAlign w:val="center"/>
          </w:tcPr>
          <w:p>
            <w:pPr>
              <w:adjustRightInd w:val="0"/>
              <w:snapToGrid w:val="0"/>
              <w:jc w:val="center"/>
              <w:rPr>
                <w:sz w:val="21"/>
                <w:szCs w:val="21"/>
              </w:rPr>
            </w:pPr>
            <w:r>
              <w:rPr>
                <w:sz w:val="21"/>
                <w:szCs w:val="21"/>
              </w:rPr>
              <w:t>与附近水渠不产生水力联系，严格控制项目扰动范围，确保项目施工不影响到水渠正常的功能。</w:t>
            </w:r>
          </w:p>
        </w:tc>
        <w:tc>
          <w:tcPr>
            <w:tcW w:w="1122" w:type="pct"/>
            <w:vAlign w:val="center"/>
          </w:tcPr>
          <w:p>
            <w:pPr>
              <w:adjustRightInd w:val="0"/>
              <w:snapToGrid w:val="0"/>
              <w:jc w:val="center"/>
              <w:rPr>
                <w:sz w:val="21"/>
                <w:szCs w:val="21"/>
              </w:rPr>
            </w:pPr>
            <w:r>
              <w:rPr>
                <w:sz w:val="21"/>
                <w:szCs w:val="21"/>
              </w:rPr>
              <w:t>水渠原有功能未受项目施工影响</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地表水环境</w:t>
            </w:r>
          </w:p>
        </w:tc>
        <w:tc>
          <w:tcPr>
            <w:tcW w:w="1714" w:type="pct"/>
            <w:gridSpan w:val="2"/>
            <w:vAlign w:val="center"/>
          </w:tcPr>
          <w:p>
            <w:pPr>
              <w:ind w:left="-120" w:leftChars="-50" w:right="-120" w:rightChars="-50"/>
              <w:jc w:val="center"/>
              <w:rPr>
                <w:sz w:val="21"/>
                <w:szCs w:val="21"/>
              </w:rPr>
            </w:pPr>
            <w:r>
              <w:rPr>
                <w:bCs/>
                <w:sz w:val="21"/>
                <w:szCs w:val="21"/>
                <w:lang w:bidi="ar"/>
              </w:rPr>
              <w:t>施工期间废水沉淀池处理后回用于洒水降尘；施工期不设临时生活区，租用当地现有房屋，</w:t>
            </w:r>
            <w:r>
              <w:rPr>
                <w:spacing w:val="3"/>
                <w:sz w:val="21"/>
                <w:szCs w:val="21"/>
                <w:lang w:bidi="ar"/>
              </w:rPr>
              <w:t>生活污水排放依托综合保税区的排水管网处理</w:t>
            </w:r>
          </w:p>
        </w:tc>
        <w:tc>
          <w:tcPr>
            <w:tcW w:w="1122" w:type="pct"/>
            <w:vAlign w:val="center"/>
          </w:tcPr>
          <w:p>
            <w:pPr>
              <w:ind w:left="-120" w:leftChars="-50" w:right="-120" w:rightChars="-50"/>
              <w:jc w:val="center"/>
              <w:rPr>
                <w:sz w:val="21"/>
                <w:szCs w:val="21"/>
              </w:rPr>
            </w:pPr>
            <w:r>
              <w:rPr>
                <w:sz w:val="21"/>
                <w:szCs w:val="21"/>
                <w:lang w:bidi="ar"/>
              </w:rPr>
              <w:t>施工期沉淀池是否拆除，迹地恢复原貌</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地下水及土壤环境</w:t>
            </w:r>
          </w:p>
        </w:tc>
        <w:tc>
          <w:tcPr>
            <w:tcW w:w="2836" w:type="pct"/>
            <w:gridSpan w:val="3"/>
            <w:vAlign w:val="center"/>
          </w:tcPr>
          <w:p>
            <w:pPr>
              <w:adjustRightInd w:val="0"/>
              <w:snapToGrid w:val="0"/>
              <w:jc w:val="center"/>
              <w:rPr>
                <w:sz w:val="21"/>
                <w:szCs w:val="21"/>
              </w:rPr>
            </w:pPr>
            <w:r>
              <w:rPr>
                <w:sz w:val="21"/>
                <w:szCs w:val="21"/>
              </w:rPr>
              <w:t>施工期间严格控制施工范围，及时收集项目洒落的固体垃圾，管道试压废水按照环评要求处理和排放，通过</w:t>
            </w:r>
            <w:r>
              <w:rPr>
                <w:rFonts w:hint="eastAsia"/>
                <w:sz w:val="21"/>
                <w:szCs w:val="21"/>
                <w:lang w:eastAsia="zh-CN"/>
              </w:rPr>
              <w:t>旁边</w:t>
            </w:r>
            <w:r>
              <w:rPr>
                <w:sz w:val="21"/>
                <w:szCs w:val="21"/>
              </w:rPr>
              <w:t>综合保税区污水设施排放。</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声环境</w:t>
            </w:r>
          </w:p>
        </w:tc>
        <w:tc>
          <w:tcPr>
            <w:tcW w:w="1714" w:type="pct"/>
            <w:gridSpan w:val="2"/>
            <w:vAlign w:val="center"/>
          </w:tcPr>
          <w:p>
            <w:pPr>
              <w:ind w:left="-120" w:leftChars="-50" w:right="-120" w:rightChars="-50"/>
              <w:jc w:val="center"/>
              <w:rPr>
                <w:sz w:val="21"/>
                <w:szCs w:val="21"/>
              </w:rPr>
            </w:pPr>
            <w:r>
              <w:rPr>
                <w:sz w:val="21"/>
                <w:szCs w:val="21"/>
                <w:lang w:bidi="ar"/>
              </w:rPr>
              <w:t>加强管理、优化施工方案、采用低噪声设备，避免噪声设备午间夜间施工，影响周围居民生活</w:t>
            </w:r>
          </w:p>
        </w:tc>
        <w:tc>
          <w:tcPr>
            <w:tcW w:w="1122" w:type="pct"/>
            <w:vAlign w:val="center"/>
          </w:tcPr>
          <w:p>
            <w:pPr>
              <w:ind w:left="-120" w:leftChars="-50" w:right="-120" w:rightChars="-50"/>
              <w:jc w:val="center"/>
              <w:rPr>
                <w:sz w:val="21"/>
                <w:szCs w:val="21"/>
              </w:rPr>
            </w:pPr>
            <w:r>
              <w:rPr>
                <w:sz w:val="21"/>
                <w:szCs w:val="21"/>
                <w:lang w:bidi="ar"/>
              </w:rPr>
              <w:t>满足《建筑施工场界环境噪声排放标准》(GB12523-2011)限值</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25" w:type="pct"/>
            <w:gridSpan w:val="2"/>
            <w:vAlign w:val="center"/>
          </w:tcPr>
          <w:p>
            <w:pPr>
              <w:adjustRightInd w:val="0"/>
              <w:snapToGrid w:val="0"/>
              <w:jc w:val="center"/>
              <w:rPr>
                <w:sz w:val="21"/>
                <w:szCs w:val="21"/>
              </w:rPr>
            </w:pPr>
            <w:r>
              <w:rPr>
                <w:sz w:val="21"/>
                <w:szCs w:val="21"/>
              </w:rPr>
              <w:t>振动</w:t>
            </w:r>
          </w:p>
        </w:tc>
        <w:tc>
          <w:tcPr>
            <w:tcW w:w="1714" w:type="pct"/>
            <w:gridSpan w:val="2"/>
            <w:vAlign w:val="center"/>
          </w:tcPr>
          <w:p>
            <w:pPr>
              <w:adjustRightInd w:val="0"/>
              <w:snapToGrid w:val="0"/>
              <w:jc w:val="center"/>
              <w:rPr>
                <w:sz w:val="21"/>
                <w:szCs w:val="21"/>
              </w:rPr>
            </w:pPr>
            <w:r>
              <w:rPr>
                <w:sz w:val="21"/>
                <w:szCs w:val="21"/>
              </w:rPr>
              <w:t>/</w:t>
            </w:r>
          </w:p>
        </w:tc>
        <w:tc>
          <w:tcPr>
            <w:tcW w:w="1122" w:type="pct"/>
            <w:vAlign w:val="center"/>
          </w:tcPr>
          <w:p>
            <w:pPr>
              <w:adjustRightInd w:val="0"/>
              <w:snapToGrid w:val="0"/>
              <w:jc w:val="center"/>
              <w:rPr>
                <w:sz w:val="21"/>
                <w:szCs w:val="21"/>
              </w:rPr>
            </w:pPr>
            <w:r>
              <w:rPr>
                <w:sz w:val="21"/>
                <w:szCs w:val="21"/>
              </w:rPr>
              <w:t>/</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59" w:type="pct"/>
            <w:vMerge w:val="restart"/>
            <w:vAlign w:val="center"/>
          </w:tcPr>
          <w:p>
            <w:pPr>
              <w:adjustRightInd w:val="0"/>
              <w:snapToGrid w:val="0"/>
              <w:jc w:val="center"/>
              <w:rPr>
                <w:sz w:val="21"/>
                <w:szCs w:val="21"/>
              </w:rPr>
            </w:pPr>
            <w:r>
              <w:rPr>
                <w:sz w:val="21"/>
                <w:szCs w:val="21"/>
              </w:rPr>
              <w:t>大气环境</w:t>
            </w:r>
          </w:p>
        </w:tc>
        <w:tc>
          <w:tcPr>
            <w:tcW w:w="465" w:type="pct"/>
            <w:vAlign w:val="center"/>
          </w:tcPr>
          <w:p>
            <w:pPr>
              <w:adjustRightInd w:val="0"/>
              <w:snapToGrid w:val="0"/>
              <w:jc w:val="center"/>
              <w:rPr>
                <w:sz w:val="21"/>
                <w:szCs w:val="21"/>
              </w:rPr>
            </w:pPr>
            <w:r>
              <w:rPr>
                <w:sz w:val="21"/>
                <w:szCs w:val="21"/>
              </w:rPr>
              <w:t>燃气管道建设项目</w:t>
            </w:r>
          </w:p>
        </w:tc>
        <w:tc>
          <w:tcPr>
            <w:tcW w:w="1714" w:type="pct"/>
            <w:gridSpan w:val="2"/>
            <w:vAlign w:val="center"/>
          </w:tcPr>
          <w:p>
            <w:pPr>
              <w:adjustRightInd w:val="0"/>
              <w:snapToGrid w:val="0"/>
              <w:jc w:val="center"/>
              <w:rPr>
                <w:sz w:val="21"/>
                <w:szCs w:val="21"/>
              </w:rPr>
            </w:pPr>
            <w:r>
              <w:rPr>
                <w:sz w:val="21"/>
                <w:szCs w:val="21"/>
                <w:lang w:bidi="ar"/>
              </w:rPr>
              <w:t>施工过程中，边界设置封闭式围挡或设置警示牌；工地边界外侧设置密目防尘网或防尘布，施工场地定期洒水降尘，施工车辆在划定的施工范围内行驶，避免碾压耕地</w:t>
            </w:r>
          </w:p>
        </w:tc>
        <w:tc>
          <w:tcPr>
            <w:tcW w:w="1122" w:type="pct"/>
            <w:vAlign w:val="center"/>
          </w:tcPr>
          <w:p>
            <w:pPr>
              <w:adjustRightInd w:val="0"/>
              <w:snapToGrid w:val="0"/>
              <w:jc w:val="center"/>
              <w:rPr>
                <w:sz w:val="21"/>
                <w:szCs w:val="21"/>
              </w:rPr>
            </w:pPr>
            <w:r>
              <w:rPr>
                <w:sz w:val="21"/>
                <w:szCs w:val="21"/>
                <w:lang w:bidi="ar"/>
              </w:rPr>
              <w:t>《大气污染物综合排放标准》（GB16297-1996）标准限值</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59" w:type="pct"/>
            <w:vMerge w:val="continue"/>
            <w:vAlign w:val="center"/>
          </w:tcPr>
          <w:p>
            <w:pPr>
              <w:adjustRightInd w:val="0"/>
              <w:snapToGrid w:val="0"/>
              <w:jc w:val="center"/>
              <w:rPr>
                <w:sz w:val="21"/>
                <w:szCs w:val="21"/>
              </w:rPr>
            </w:pPr>
          </w:p>
        </w:tc>
        <w:tc>
          <w:tcPr>
            <w:tcW w:w="465" w:type="pct"/>
            <w:vMerge w:val="restart"/>
            <w:vAlign w:val="center"/>
          </w:tcPr>
          <w:p>
            <w:pPr>
              <w:adjustRightInd w:val="0"/>
              <w:snapToGrid w:val="0"/>
              <w:jc w:val="center"/>
              <w:rPr>
                <w:sz w:val="21"/>
                <w:szCs w:val="21"/>
              </w:rPr>
            </w:pPr>
            <w:r>
              <w:rPr>
                <w:sz w:val="21"/>
                <w:szCs w:val="21"/>
              </w:rPr>
              <w:t>航空货运区建设项目</w:t>
            </w:r>
          </w:p>
        </w:tc>
        <w:tc>
          <w:tcPr>
            <w:tcW w:w="1714" w:type="pct"/>
            <w:gridSpan w:val="2"/>
            <w:vMerge w:val="restart"/>
            <w:vAlign w:val="center"/>
          </w:tcPr>
          <w:p>
            <w:pPr>
              <w:adjustRightInd w:val="0"/>
              <w:snapToGrid w:val="0"/>
              <w:jc w:val="center"/>
              <w:rPr>
                <w:sz w:val="21"/>
                <w:szCs w:val="21"/>
              </w:rPr>
            </w:pPr>
            <w:r>
              <w:rPr>
                <w:sz w:val="21"/>
                <w:szCs w:val="21"/>
                <w:lang w:bidi="ar"/>
              </w:rPr>
              <w:t>施工过程中，边界设置封闭式围挡或设置警示牌；工地边界外侧设置密目防尘网或防尘布，施工场地定期洒水降尘，施工车辆在划定的施工范围内行驶，避免碾压耕地</w:t>
            </w:r>
          </w:p>
        </w:tc>
        <w:tc>
          <w:tcPr>
            <w:tcW w:w="1122" w:type="pct"/>
            <w:vMerge w:val="restart"/>
            <w:vAlign w:val="center"/>
          </w:tcPr>
          <w:p>
            <w:pPr>
              <w:adjustRightInd w:val="0"/>
              <w:snapToGrid w:val="0"/>
              <w:jc w:val="center"/>
              <w:rPr>
                <w:sz w:val="21"/>
                <w:szCs w:val="21"/>
              </w:rPr>
            </w:pPr>
            <w:r>
              <w:rPr>
                <w:sz w:val="21"/>
                <w:szCs w:val="21"/>
                <w:lang w:bidi="ar"/>
              </w:rPr>
              <w:t>《大气污染物综合排放标准》（GB16297-1996）标准限值</w:t>
            </w:r>
          </w:p>
        </w:tc>
        <w:tc>
          <w:tcPr>
            <w:tcW w:w="632" w:type="pct"/>
            <w:vAlign w:val="center"/>
          </w:tcPr>
          <w:p>
            <w:pPr>
              <w:adjustRightInd w:val="0"/>
              <w:snapToGrid w:val="0"/>
              <w:jc w:val="center"/>
              <w:rPr>
                <w:sz w:val="21"/>
                <w:szCs w:val="21"/>
              </w:rPr>
            </w:pPr>
            <w:r>
              <w:rPr>
                <w:sz w:val="21"/>
                <w:szCs w:val="21"/>
              </w:rPr>
              <w:t>溴甲烷经多级活性炭吸附装置+15m排气筒</w:t>
            </w:r>
          </w:p>
        </w:tc>
        <w:tc>
          <w:tcPr>
            <w:tcW w:w="804" w:type="pct"/>
            <w:vAlign w:val="center"/>
          </w:tcPr>
          <w:p>
            <w:pPr>
              <w:adjustRightInd w:val="0"/>
              <w:snapToGrid w:val="0"/>
              <w:jc w:val="center"/>
              <w:rPr>
                <w:sz w:val="21"/>
                <w:szCs w:val="21"/>
              </w:rPr>
            </w:pPr>
            <w:r>
              <w:rPr>
                <w:sz w:val="21"/>
                <w:szCs w:val="21"/>
              </w:rPr>
              <w:t>《工作场所有害因素职业接触限值化学有害因素》（GBZ2. 1-2007）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9" w:type="pct"/>
            <w:vMerge w:val="continue"/>
            <w:vAlign w:val="center"/>
          </w:tcPr>
          <w:p>
            <w:pPr>
              <w:adjustRightInd w:val="0"/>
              <w:snapToGrid w:val="0"/>
              <w:jc w:val="center"/>
            </w:pPr>
          </w:p>
        </w:tc>
        <w:tc>
          <w:tcPr>
            <w:tcW w:w="465" w:type="pct"/>
            <w:vMerge w:val="continue"/>
            <w:vAlign w:val="center"/>
          </w:tcPr>
          <w:p>
            <w:pPr>
              <w:adjustRightInd w:val="0"/>
              <w:snapToGrid w:val="0"/>
              <w:jc w:val="center"/>
            </w:pPr>
          </w:p>
        </w:tc>
        <w:tc>
          <w:tcPr>
            <w:tcW w:w="1714" w:type="pct"/>
            <w:gridSpan w:val="2"/>
            <w:vMerge w:val="continue"/>
            <w:vAlign w:val="center"/>
          </w:tcPr>
          <w:p>
            <w:pPr>
              <w:adjustRightInd w:val="0"/>
              <w:snapToGrid w:val="0"/>
              <w:jc w:val="center"/>
            </w:pPr>
          </w:p>
        </w:tc>
        <w:tc>
          <w:tcPr>
            <w:tcW w:w="1122" w:type="pct"/>
            <w:vMerge w:val="continue"/>
            <w:vAlign w:val="center"/>
          </w:tcPr>
          <w:p>
            <w:pPr>
              <w:adjustRightInd w:val="0"/>
              <w:snapToGrid w:val="0"/>
              <w:jc w:val="center"/>
            </w:pPr>
          </w:p>
        </w:tc>
        <w:tc>
          <w:tcPr>
            <w:tcW w:w="632" w:type="pct"/>
            <w:vAlign w:val="center"/>
          </w:tcPr>
          <w:p>
            <w:pPr>
              <w:adjustRightInd w:val="0"/>
              <w:snapToGrid w:val="0"/>
              <w:jc w:val="center"/>
              <w:rPr>
                <w:sz w:val="21"/>
                <w:szCs w:val="21"/>
              </w:rPr>
            </w:pPr>
            <w:r>
              <w:rPr>
                <w:sz w:val="21"/>
                <w:szCs w:val="21"/>
              </w:rPr>
              <w:t>氨、硫化氢、臭气浓度、粉尘经布袋除尘器+生物滤池+15m排气筒</w:t>
            </w:r>
          </w:p>
        </w:tc>
        <w:tc>
          <w:tcPr>
            <w:tcW w:w="804" w:type="pct"/>
            <w:vAlign w:val="center"/>
          </w:tcPr>
          <w:p>
            <w:pPr>
              <w:adjustRightInd w:val="0"/>
              <w:snapToGrid w:val="0"/>
              <w:jc w:val="center"/>
              <w:rPr>
                <w:sz w:val="21"/>
                <w:szCs w:val="21"/>
              </w:rPr>
            </w:pPr>
            <w:r>
              <w:rPr>
                <w:sz w:val="21"/>
                <w:szCs w:val="21"/>
              </w:rPr>
              <w:t>《恶臭污染物排放标准》（GB14554- 1993）、《大气污染物综合排放标</w:t>
            </w:r>
          </w:p>
          <w:p>
            <w:pPr>
              <w:adjustRightInd w:val="0"/>
              <w:snapToGrid w:val="0"/>
              <w:jc w:val="center"/>
              <w:rPr>
                <w:sz w:val="21"/>
                <w:szCs w:val="21"/>
              </w:rPr>
            </w:pPr>
            <w:r>
              <w:rPr>
                <w:sz w:val="21"/>
                <w:szCs w:val="21"/>
              </w:rPr>
              <w:t>准》（GB16297- 1996）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59" w:type="pct"/>
            <w:vMerge w:val="continue"/>
            <w:vAlign w:val="center"/>
          </w:tcPr>
          <w:p>
            <w:pPr>
              <w:adjustRightInd w:val="0"/>
              <w:snapToGrid w:val="0"/>
              <w:jc w:val="center"/>
            </w:pPr>
          </w:p>
        </w:tc>
        <w:tc>
          <w:tcPr>
            <w:tcW w:w="465" w:type="pct"/>
            <w:vMerge w:val="continue"/>
            <w:vAlign w:val="center"/>
          </w:tcPr>
          <w:p>
            <w:pPr>
              <w:adjustRightInd w:val="0"/>
              <w:snapToGrid w:val="0"/>
              <w:jc w:val="center"/>
            </w:pPr>
          </w:p>
        </w:tc>
        <w:tc>
          <w:tcPr>
            <w:tcW w:w="1714" w:type="pct"/>
            <w:gridSpan w:val="2"/>
            <w:vMerge w:val="continue"/>
            <w:vAlign w:val="center"/>
          </w:tcPr>
          <w:p>
            <w:pPr>
              <w:adjustRightInd w:val="0"/>
              <w:snapToGrid w:val="0"/>
              <w:jc w:val="center"/>
            </w:pPr>
          </w:p>
        </w:tc>
        <w:tc>
          <w:tcPr>
            <w:tcW w:w="1122" w:type="pct"/>
            <w:vMerge w:val="continue"/>
            <w:vAlign w:val="center"/>
          </w:tcPr>
          <w:p>
            <w:pPr>
              <w:adjustRightInd w:val="0"/>
              <w:snapToGrid w:val="0"/>
              <w:jc w:val="center"/>
            </w:pPr>
          </w:p>
        </w:tc>
        <w:tc>
          <w:tcPr>
            <w:tcW w:w="632" w:type="pct"/>
            <w:vAlign w:val="center"/>
          </w:tcPr>
          <w:p>
            <w:pPr>
              <w:adjustRightInd w:val="0"/>
              <w:snapToGrid w:val="0"/>
              <w:jc w:val="center"/>
              <w:rPr>
                <w:sz w:val="21"/>
                <w:szCs w:val="21"/>
              </w:rPr>
            </w:pPr>
            <w:r>
              <w:rPr>
                <w:kern w:val="0"/>
                <w:sz w:val="21"/>
                <w:szCs w:val="21"/>
                <w:lang w:bidi="ar"/>
              </w:rPr>
              <w:t>及时清理腐烂水果和生活垃圾</w:t>
            </w:r>
          </w:p>
        </w:tc>
        <w:tc>
          <w:tcPr>
            <w:tcW w:w="804" w:type="pct"/>
            <w:vAlign w:val="center"/>
          </w:tcPr>
          <w:p>
            <w:pPr>
              <w:adjustRightInd w:val="0"/>
              <w:snapToGrid w:val="0"/>
              <w:jc w:val="center"/>
              <w:rPr>
                <w:sz w:val="21"/>
                <w:szCs w:val="21"/>
              </w:rPr>
            </w:pPr>
            <w:r>
              <w:rPr>
                <w:sz w:val="21"/>
                <w:szCs w:val="21"/>
              </w:rPr>
              <w:t>《工作场所有害因素职业接触限值化学有害因素》（GBZ2. -2007）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59" w:type="pct"/>
            <w:vMerge w:val="restart"/>
            <w:vAlign w:val="center"/>
          </w:tcPr>
          <w:p>
            <w:pPr>
              <w:adjustRightInd w:val="0"/>
              <w:snapToGrid w:val="0"/>
              <w:jc w:val="center"/>
              <w:rPr>
                <w:sz w:val="21"/>
                <w:szCs w:val="21"/>
              </w:rPr>
            </w:pPr>
            <w:r>
              <w:rPr>
                <w:sz w:val="21"/>
                <w:szCs w:val="21"/>
              </w:rPr>
              <w:t>固体废物</w:t>
            </w:r>
          </w:p>
        </w:tc>
        <w:tc>
          <w:tcPr>
            <w:tcW w:w="465" w:type="pct"/>
            <w:vAlign w:val="center"/>
          </w:tcPr>
          <w:p>
            <w:pPr>
              <w:adjustRightInd w:val="0"/>
              <w:snapToGrid w:val="0"/>
              <w:jc w:val="center"/>
              <w:rPr>
                <w:sz w:val="21"/>
                <w:szCs w:val="21"/>
              </w:rPr>
            </w:pPr>
            <w:r>
              <w:rPr>
                <w:sz w:val="21"/>
                <w:szCs w:val="21"/>
              </w:rPr>
              <w:t>燃气管道建设项目</w:t>
            </w:r>
          </w:p>
        </w:tc>
        <w:tc>
          <w:tcPr>
            <w:tcW w:w="940" w:type="pct"/>
            <w:vAlign w:val="center"/>
          </w:tcPr>
          <w:p>
            <w:pPr>
              <w:adjustRightInd w:val="0"/>
              <w:snapToGrid w:val="0"/>
              <w:jc w:val="center"/>
              <w:rPr>
                <w:sz w:val="21"/>
                <w:szCs w:val="21"/>
              </w:rPr>
            </w:pPr>
            <w:r>
              <w:rPr>
                <w:sz w:val="21"/>
                <w:szCs w:val="21"/>
                <w:lang w:bidi="ar"/>
              </w:rPr>
              <w:t>施</w:t>
            </w:r>
            <w:r>
              <w:rPr>
                <w:sz w:val="21"/>
                <w:szCs w:val="21"/>
              </w:rPr>
              <w:t>工期回填弃土可用于管线及道路两侧洼地填充或周围绿化带建设；建筑垃圾集中收集后</w:t>
            </w:r>
            <w:r>
              <w:rPr>
                <w:rFonts w:hint="eastAsia"/>
                <w:sz w:val="21"/>
                <w:szCs w:val="21"/>
                <w:lang w:eastAsia="zh-CN"/>
              </w:rPr>
              <w:t>运送</w:t>
            </w:r>
            <w:r>
              <w:rPr>
                <w:sz w:val="21"/>
                <w:szCs w:val="21"/>
              </w:rPr>
              <w:t>至环卫部门指定建筑垃圾填埋场处置；施工期生活垃圾依托附近村庄现有设施</w:t>
            </w:r>
          </w:p>
        </w:tc>
        <w:tc>
          <w:tcPr>
            <w:tcW w:w="773" w:type="pct"/>
            <w:vAlign w:val="center"/>
          </w:tcPr>
          <w:p>
            <w:pPr>
              <w:adjustRightInd w:val="0"/>
              <w:snapToGrid w:val="0"/>
              <w:jc w:val="center"/>
              <w:rPr>
                <w:sz w:val="21"/>
                <w:szCs w:val="21"/>
              </w:rPr>
            </w:pPr>
            <w:r>
              <w:rPr>
                <w:sz w:val="21"/>
                <w:szCs w:val="21"/>
                <w:lang w:bidi="ar"/>
              </w:rPr>
              <w:t>《一般工业固体废物贮存和填埋污染控制标准》（GB18599-2020）</w:t>
            </w:r>
          </w:p>
        </w:tc>
        <w:tc>
          <w:tcPr>
            <w:tcW w:w="1122" w:type="pct"/>
            <w:vAlign w:val="center"/>
          </w:tcPr>
          <w:p>
            <w:pPr>
              <w:adjustRightInd w:val="0"/>
              <w:snapToGrid w:val="0"/>
              <w:jc w:val="center"/>
              <w:rPr>
                <w:sz w:val="21"/>
                <w:szCs w:val="21"/>
              </w:rPr>
            </w:pPr>
            <w:r>
              <w:rPr>
                <w:sz w:val="21"/>
                <w:szCs w:val="21"/>
                <w:lang w:bidi="ar"/>
              </w:rPr>
              <w:t>管道修葺过程产生的固体废物应收集后拉运至环卫部门指定位置</w:t>
            </w:r>
          </w:p>
        </w:tc>
        <w:tc>
          <w:tcPr>
            <w:tcW w:w="1437" w:type="pct"/>
            <w:gridSpan w:val="2"/>
            <w:vAlign w:val="center"/>
          </w:tcPr>
          <w:p>
            <w:pPr>
              <w:adjustRightInd w:val="0"/>
              <w:snapToGrid w:val="0"/>
              <w:jc w:val="center"/>
              <w:rPr>
                <w:sz w:val="21"/>
                <w:szCs w:val="21"/>
                <w:lang w:bidi="ar"/>
              </w:rPr>
            </w:pPr>
            <w:r>
              <w:rPr>
                <w:sz w:val="21"/>
                <w:szCs w:val="21"/>
                <w:lang w:bidi="ar"/>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259" w:type="pct"/>
            <w:vMerge w:val="continue"/>
            <w:vAlign w:val="center"/>
          </w:tcPr>
          <w:p>
            <w:pPr>
              <w:adjustRightInd w:val="0"/>
              <w:snapToGrid w:val="0"/>
              <w:jc w:val="center"/>
              <w:rPr>
                <w:sz w:val="21"/>
                <w:szCs w:val="21"/>
              </w:rPr>
            </w:pPr>
          </w:p>
        </w:tc>
        <w:tc>
          <w:tcPr>
            <w:tcW w:w="465" w:type="pct"/>
            <w:vAlign w:val="center"/>
          </w:tcPr>
          <w:p>
            <w:pPr>
              <w:adjustRightInd w:val="0"/>
              <w:snapToGrid w:val="0"/>
              <w:jc w:val="center"/>
              <w:rPr>
                <w:sz w:val="21"/>
                <w:szCs w:val="21"/>
              </w:rPr>
            </w:pPr>
            <w:r>
              <w:rPr>
                <w:sz w:val="21"/>
                <w:szCs w:val="21"/>
              </w:rPr>
              <w:t>航空货运区建设项目</w:t>
            </w:r>
          </w:p>
        </w:tc>
        <w:tc>
          <w:tcPr>
            <w:tcW w:w="940" w:type="pct"/>
            <w:vAlign w:val="center"/>
          </w:tcPr>
          <w:p>
            <w:pPr>
              <w:adjustRightInd w:val="0"/>
              <w:snapToGrid w:val="0"/>
              <w:jc w:val="center"/>
              <w:rPr>
                <w:sz w:val="21"/>
                <w:szCs w:val="21"/>
              </w:rPr>
            </w:pPr>
            <w:r>
              <w:rPr>
                <w:sz w:val="21"/>
                <w:szCs w:val="21"/>
              </w:rPr>
              <w:t>建筑垃圾集中收集后送至运至环卫部门指定建筑垃圾填埋场处置</w:t>
            </w:r>
          </w:p>
        </w:tc>
        <w:tc>
          <w:tcPr>
            <w:tcW w:w="773" w:type="pct"/>
            <w:vAlign w:val="center"/>
          </w:tcPr>
          <w:p>
            <w:pPr>
              <w:adjustRightInd w:val="0"/>
              <w:snapToGrid w:val="0"/>
              <w:jc w:val="center"/>
              <w:rPr>
                <w:sz w:val="21"/>
                <w:szCs w:val="21"/>
              </w:rPr>
            </w:pPr>
            <w:r>
              <w:rPr>
                <w:sz w:val="21"/>
                <w:szCs w:val="21"/>
                <w:lang w:bidi="ar"/>
              </w:rPr>
              <w:t>《一般工业固体废物贮存和填埋污染控制标准》（GB18599-2020）</w:t>
            </w:r>
          </w:p>
        </w:tc>
        <w:tc>
          <w:tcPr>
            <w:tcW w:w="1122" w:type="pct"/>
            <w:vAlign w:val="center"/>
          </w:tcPr>
          <w:p>
            <w:pPr>
              <w:adjustRightInd w:val="0"/>
              <w:snapToGrid w:val="0"/>
              <w:jc w:val="center"/>
              <w:rPr>
                <w:sz w:val="21"/>
                <w:szCs w:val="21"/>
              </w:rPr>
            </w:pPr>
            <w:r>
              <w:rPr>
                <w:sz w:val="21"/>
                <w:szCs w:val="21"/>
              </w:rPr>
              <w:t>废活性炭集中收集后暂存于危废暂存间（暂存间建设面积4m2，位于项目区南侧），定期送往具有危废处置资质单位处理；废防疫装备交有资质的危险废物单位处理；废烂水果和生活垃圾集中收集后交由环卫部门处理项目区设置垃圾箱，生活垃圾集中收集至垃圾桶后，统一清运至环卫部门指定垃圾填埋场处理</w:t>
            </w:r>
          </w:p>
        </w:tc>
        <w:tc>
          <w:tcPr>
            <w:tcW w:w="1437" w:type="pct"/>
            <w:gridSpan w:val="2"/>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电磁环境</w:t>
            </w:r>
          </w:p>
        </w:tc>
        <w:tc>
          <w:tcPr>
            <w:tcW w:w="1714" w:type="pct"/>
            <w:gridSpan w:val="2"/>
            <w:vAlign w:val="center"/>
          </w:tcPr>
          <w:p>
            <w:pPr>
              <w:adjustRightInd w:val="0"/>
              <w:snapToGrid w:val="0"/>
              <w:jc w:val="center"/>
              <w:rPr>
                <w:sz w:val="21"/>
                <w:szCs w:val="21"/>
              </w:rPr>
            </w:pPr>
            <w:r>
              <w:rPr>
                <w:sz w:val="21"/>
                <w:szCs w:val="21"/>
              </w:rPr>
              <w:t>/</w:t>
            </w:r>
          </w:p>
        </w:tc>
        <w:tc>
          <w:tcPr>
            <w:tcW w:w="1122" w:type="pct"/>
            <w:vAlign w:val="center"/>
          </w:tcPr>
          <w:p>
            <w:pPr>
              <w:adjustRightInd w:val="0"/>
              <w:snapToGrid w:val="0"/>
              <w:jc w:val="center"/>
              <w:rPr>
                <w:sz w:val="21"/>
                <w:szCs w:val="21"/>
              </w:rPr>
            </w:pPr>
            <w:r>
              <w:rPr>
                <w:sz w:val="21"/>
                <w:szCs w:val="21"/>
              </w:rPr>
              <w:t>/</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环境风险</w:t>
            </w:r>
          </w:p>
        </w:tc>
        <w:tc>
          <w:tcPr>
            <w:tcW w:w="2836" w:type="pct"/>
            <w:gridSpan w:val="3"/>
            <w:vAlign w:val="center"/>
          </w:tcPr>
          <w:p>
            <w:pPr>
              <w:adjustRightInd w:val="0"/>
              <w:snapToGrid w:val="0"/>
              <w:jc w:val="center"/>
              <w:rPr>
                <w:sz w:val="21"/>
                <w:szCs w:val="21"/>
              </w:rPr>
            </w:pPr>
            <w:r>
              <w:rPr>
                <w:sz w:val="21"/>
                <w:szCs w:val="21"/>
              </w:rPr>
              <w:t>施</w:t>
            </w:r>
            <w:r>
              <w:rPr>
                <w:sz w:val="21"/>
                <w:szCs w:val="21"/>
                <w:lang w:bidi="ar"/>
              </w:rPr>
              <w:t>工时严格按照施工设计要求进行，运行期间落实管理制度，制定完备的环境风险应急预案。</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5" w:type="pct"/>
            <w:gridSpan w:val="2"/>
            <w:vAlign w:val="center"/>
          </w:tcPr>
          <w:p>
            <w:pPr>
              <w:adjustRightInd w:val="0"/>
              <w:snapToGrid w:val="0"/>
              <w:jc w:val="center"/>
              <w:rPr>
                <w:sz w:val="21"/>
                <w:szCs w:val="21"/>
              </w:rPr>
            </w:pPr>
            <w:r>
              <w:rPr>
                <w:sz w:val="21"/>
                <w:szCs w:val="21"/>
              </w:rPr>
              <w:t>环境监测</w:t>
            </w:r>
          </w:p>
        </w:tc>
        <w:tc>
          <w:tcPr>
            <w:tcW w:w="1714" w:type="pct"/>
            <w:gridSpan w:val="2"/>
            <w:vAlign w:val="center"/>
          </w:tcPr>
          <w:p>
            <w:pPr>
              <w:adjustRightInd w:val="0"/>
              <w:snapToGrid w:val="0"/>
              <w:jc w:val="center"/>
              <w:rPr>
                <w:sz w:val="21"/>
                <w:szCs w:val="21"/>
              </w:rPr>
            </w:pPr>
            <w:r>
              <w:rPr>
                <w:sz w:val="21"/>
                <w:szCs w:val="21"/>
              </w:rPr>
              <w:t>/</w:t>
            </w:r>
          </w:p>
        </w:tc>
        <w:tc>
          <w:tcPr>
            <w:tcW w:w="1122" w:type="pct"/>
            <w:vAlign w:val="center"/>
          </w:tcPr>
          <w:p>
            <w:pPr>
              <w:adjustRightInd w:val="0"/>
              <w:snapToGrid w:val="0"/>
              <w:jc w:val="center"/>
              <w:rPr>
                <w:sz w:val="21"/>
                <w:szCs w:val="21"/>
              </w:rPr>
            </w:pPr>
            <w:r>
              <w:rPr>
                <w:sz w:val="21"/>
                <w:szCs w:val="21"/>
              </w:rPr>
              <w:t>/</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25" w:type="pct"/>
            <w:gridSpan w:val="2"/>
            <w:vAlign w:val="center"/>
          </w:tcPr>
          <w:p>
            <w:pPr>
              <w:adjustRightInd w:val="0"/>
              <w:snapToGrid w:val="0"/>
              <w:jc w:val="center"/>
              <w:rPr>
                <w:sz w:val="21"/>
                <w:szCs w:val="21"/>
              </w:rPr>
            </w:pPr>
            <w:r>
              <w:rPr>
                <w:sz w:val="21"/>
                <w:szCs w:val="21"/>
              </w:rPr>
              <w:t>其他</w:t>
            </w:r>
          </w:p>
        </w:tc>
        <w:tc>
          <w:tcPr>
            <w:tcW w:w="1714" w:type="pct"/>
            <w:gridSpan w:val="2"/>
            <w:vAlign w:val="center"/>
          </w:tcPr>
          <w:p>
            <w:pPr>
              <w:adjustRightInd w:val="0"/>
              <w:snapToGrid w:val="0"/>
              <w:jc w:val="center"/>
              <w:rPr>
                <w:sz w:val="21"/>
                <w:szCs w:val="21"/>
              </w:rPr>
            </w:pPr>
            <w:r>
              <w:rPr>
                <w:sz w:val="21"/>
                <w:szCs w:val="21"/>
              </w:rPr>
              <w:t>/</w:t>
            </w:r>
          </w:p>
        </w:tc>
        <w:tc>
          <w:tcPr>
            <w:tcW w:w="1122" w:type="pct"/>
            <w:vAlign w:val="center"/>
          </w:tcPr>
          <w:p>
            <w:pPr>
              <w:adjustRightInd w:val="0"/>
              <w:snapToGrid w:val="0"/>
              <w:jc w:val="center"/>
              <w:rPr>
                <w:sz w:val="21"/>
                <w:szCs w:val="21"/>
              </w:rPr>
            </w:pPr>
            <w:r>
              <w:rPr>
                <w:sz w:val="21"/>
                <w:szCs w:val="21"/>
              </w:rPr>
              <w:t>/</w:t>
            </w:r>
          </w:p>
        </w:tc>
        <w:tc>
          <w:tcPr>
            <w:tcW w:w="632" w:type="pct"/>
            <w:vAlign w:val="center"/>
          </w:tcPr>
          <w:p>
            <w:pPr>
              <w:adjustRightInd w:val="0"/>
              <w:snapToGrid w:val="0"/>
              <w:jc w:val="center"/>
              <w:rPr>
                <w:sz w:val="21"/>
                <w:szCs w:val="21"/>
              </w:rPr>
            </w:pPr>
            <w:r>
              <w:rPr>
                <w:sz w:val="21"/>
                <w:szCs w:val="21"/>
              </w:rPr>
              <w:t>/</w:t>
            </w:r>
          </w:p>
        </w:tc>
        <w:tc>
          <w:tcPr>
            <w:tcW w:w="804" w:type="pct"/>
            <w:vAlign w:val="center"/>
          </w:tcPr>
          <w:p>
            <w:pPr>
              <w:adjustRightInd w:val="0"/>
              <w:snapToGrid w:val="0"/>
              <w:jc w:val="center"/>
              <w:rPr>
                <w:sz w:val="21"/>
                <w:szCs w:val="21"/>
              </w:rPr>
            </w:pPr>
            <w:r>
              <w:rPr>
                <w:sz w:val="21"/>
                <w:szCs w:val="21"/>
              </w:rPr>
              <w:t>/</w:t>
            </w:r>
          </w:p>
        </w:tc>
      </w:tr>
    </w:tbl>
    <w:p>
      <w:pPr>
        <w:rPr>
          <w:rFonts w:eastAsia="黑体"/>
          <w:snapToGrid w:val="0"/>
          <w:sz w:val="30"/>
          <w:szCs w:val="30"/>
        </w:rPr>
      </w:pPr>
      <w:r>
        <w:rPr>
          <w:rFonts w:eastAsia="黑体"/>
          <w:snapToGrid w:val="0"/>
          <w:sz w:val="30"/>
          <w:szCs w:val="30"/>
        </w:rPr>
        <w:br w:type="page"/>
      </w:r>
    </w:p>
    <w:p>
      <w:pPr>
        <w:pStyle w:val="19"/>
        <w:adjustRightInd w:val="0"/>
        <w:snapToGrid w:val="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八、结论</w:t>
      </w:r>
    </w:p>
    <w:tbl>
      <w:tblPr>
        <w:tblStyle w:val="23"/>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8" w:hRule="atLeast"/>
          <w:jc w:val="center"/>
        </w:trPr>
        <w:tc>
          <w:tcPr>
            <w:tcW w:w="9289" w:type="dxa"/>
          </w:tcPr>
          <w:p>
            <w:pPr>
              <w:adjustRightInd w:val="0"/>
              <w:snapToGrid w:val="0"/>
              <w:spacing w:before="156" w:beforeLines="50" w:line="360" w:lineRule="auto"/>
              <w:ind w:firstLine="480" w:firstLineChars="200"/>
            </w:pPr>
            <w:r>
              <w:t>本工程符合国家产业政策，本工程建设符合生态红线管理要求，满足“三线一单”要求；本项目采取了完善的污染治理措施并制定了环境管理与监测计划，可确保各类污染物达标排放，对周围环境影响较小；在采取生态恢复措施后，对沿线生态环境影响较小。项目环境风险可控，在执行环保“三同时”制度和认真落实各项环保措施的前提下，从环保角度分析工程建设可行。</w:t>
            </w:r>
          </w:p>
          <w:p>
            <w:pPr>
              <w:adjustRightInd w:val="0"/>
              <w:snapToGrid w:val="0"/>
              <w:spacing w:before="156" w:beforeLines="50" w:line="360" w:lineRule="auto"/>
              <w:ind w:firstLine="480" w:firstLineChars="200"/>
              <w:rPr>
                <w:szCs w:val="21"/>
              </w:rPr>
            </w:pPr>
          </w:p>
          <w:p>
            <w:pPr>
              <w:adjustRightInd w:val="0"/>
              <w:snapToGrid w:val="0"/>
              <w:ind w:firstLine="315"/>
              <w:rPr>
                <w:szCs w:val="21"/>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Arial Unicode MS">
    <w:altName w:val="Malgun Gothic Semilight"/>
    <w:panose1 w:val="020B0604020202020204"/>
    <w:charset w:val="86"/>
    <w:family w:val="swiss"/>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81C64"/>
    <w:multiLevelType w:val="singleLevel"/>
    <w:tmpl w:val="82F81C64"/>
    <w:lvl w:ilvl="0" w:tentative="0">
      <w:start w:val="2"/>
      <w:numFmt w:val="decimal"/>
      <w:lvlText w:val="%1."/>
      <w:lvlJc w:val="left"/>
      <w:pPr>
        <w:tabs>
          <w:tab w:val="left" w:pos="312"/>
        </w:tabs>
      </w:pPr>
    </w:lvl>
  </w:abstractNum>
  <w:abstractNum w:abstractNumId="1">
    <w:nsid w:val="A277FBE5"/>
    <w:multiLevelType w:val="singleLevel"/>
    <w:tmpl w:val="A277FBE5"/>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DC7C7216"/>
    <w:multiLevelType w:val="singleLevel"/>
    <w:tmpl w:val="DC7C7216"/>
    <w:lvl w:ilvl="0" w:tentative="0">
      <w:start w:val="3"/>
      <w:numFmt w:val="decimal"/>
      <w:suff w:val="nothing"/>
      <w:lvlText w:val="（%1）"/>
      <w:lvlJc w:val="left"/>
    </w:lvl>
  </w:abstractNum>
  <w:abstractNum w:abstractNumId="3">
    <w:nsid w:val="E3F12FB4"/>
    <w:multiLevelType w:val="multilevel"/>
    <w:tmpl w:val="E3F12FB4"/>
    <w:lvl w:ilvl="0" w:tentative="0">
      <w:start w:val="1"/>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2B87B627"/>
    <w:multiLevelType w:val="multilevel"/>
    <w:tmpl w:val="2B87B627"/>
    <w:lvl w:ilvl="0" w:tentative="0">
      <w:start w:val="1"/>
      <w:numFmt w:val="chineseCountingThousand"/>
      <w:suff w:val="nothing"/>
      <w:lvlText w:val="第%1章"/>
      <w:lvlJc w:val="left"/>
      <w:pPr>
        <w:ind w:left="851" w:firstLine="0"/>
      </w:pPr>
      <w:rPr>
        <w:rFonts w:hint="eastAsia" w:ascii="黑体" w:eastAsia="黑体"/>
        <w:b w:val="0"/>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5"/>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I4NGI1MGU3MWYyNDlmMTAxNzUyZDRkYTY5YTRlMmIifQ=="/>
  </w:docVars>
  <w:rsids>
    <w:rsidRoot w:val="00172A27"/>
    <w:rsid w:val="00005A50"/>
    <w:rsid w:val="00172A27"/>
    <w:rsid w:val="00207044"/>
    <w:rsid w:val="00211958"/>
    <w:rsid w:val="003139F9"/>
    <w:rsid w:val="004C7DA5"/>
    <w:rsid w:val="004F1AAE"/>
    <w:rsid w:val="00761EA2"/>
    <w:rsid w:val="007D23DA"/>
    <w:rsid w:val="008B1170"/>
    <w:rsid w:val="00925F07"/>
    <w:rsid w:val="009422C4"/>
    <w:rsid w:val="009D0EA3"/>
    <w:rsid w:val="00AB1812"/>
    <w:rsid w:val="00CB3C62"/>
    <w:rsid w:val="00CE39B0"/>
    <w:rsid w:val="00DE6D4F"/>
    <w:rsid w:val="00DF1886"/>
    <w:rsid w:val="00E029F0"/>
    <w:rsid w:val="00E42EEF"/>
    <w:rsid w:val="00ED31CE"/>
    <w:rsid w:val="00F01FD8"/>
    <w:rsid w:val="013D5C6F"/>
    <w:rsid w:val="01486B9B"/>
    <w:rsid w:val="017E26DA"/>
    <w:rsid w:val="01A83B36"/>
    <w:rsid w:val="01AC3A93"/>
    <w:rsid w:val="023F210A"/>
    <w:rsid w:val="02646299"/>
    <w:rsid w:val="02B250DA"/>
    <w:rsid w:val="03BE4087"/>
    <w:rsid w:val="03EE40D0"/>
    <w:rsid w:val="04395576"/>
    <w:rsid w:val="04C44C50"/>
    <w:rsid w:val="04D53F03"/>
    <w:rsid w:val="05637167"/>
    <w:rsid w:val="05C77713"/>
    <w:rsid w:val="06AC39E1"/>
    <w:rsid w:val="07066414"/>
    <w:rsid w:val="070E628C"/>
    <w:rsid w:val="07104376"/>
    <w:rsid w:val="07153E89"/>
    <w:rsid w:val="07287718"/>
    <w:rsid w:val="07465549"/>
    <w:rsid w:val="076A46C8"/>
    <w:rsid w:val="076D1B13"/>
    <w:rsid w:val="07FE66CB"/>
    <w:rsid w:val="08573725"/>
    <w:rsid w:val="08830EB2"/>
    <w:rsid w:val="09695657"/>
    <w:rsid w:val="09F07633"/>
    <w:rsid w:val="09F50A27"/>
    <w:rsid w:val="0A434869"/>
    <w:rsid w:val="0A860745"/>
    <w:rsid w:val="0A8D3D36"/>
    <w:rsid w:val="0A8F40FF"/>
    <w:rsid w:val="0AB6328D"/>
    <w:rsid w:val="0ACF434F"/>
    <w:rsid w:val="0B001B6A"/>
    <w:rsid w:val="0B3D43CE"/>
    <w:rsid w:val="0B7D7D83"/>
    <w:rsid w:val="0B86564F"/>
    <w:rsid w:val="0BB579E9"/>
    <w:rsid w:val="0BCE4D3A"/>
    <w:rsid w:val="0BD33908"/>
    <w:rsid w:val="0CD43E9E"/>
    <w:rsid w:val="0D050DBD"/>
    <w:rsid w:val="0D1A3C6B"/>
    <w:rsid w:val="0D1B2F9F"/>
    <w:rsid w:val="0D414183"/>
    <w:rsid w:val="0DE87C01"/>
    <w:rsid w:val="0F064724"/>
    <w:rsid w:val="0F075801"/>
    <w:rsid w:val="0F3D271C"/>
    <w:rsid w:val="0FA96BEA"/>
    <w:rsid w:val="0FD922F9"/>
    <w:rsid w:val="0FE4089C"/>
    <w:rsid w:val="0FF772A4"/>
    <w:rsid w:val="1008190D"/>
    <w:rsid w:val="100B407B"/>
    <w:rsid w:val="10190546"/>
    <w:rsid w:val="105A290D"/>
    <w:rsid w:val="106230C5"/>
    <w:rsid w:val="1064006D"/>
    <w:rsid w:val="10BF3A0C"/>
    <w:rsid w:val="11531836"/>
    <w:rsid w:val="117746A0"/>
    <w:rsid w:val="11B12A00"/>
    <w:rsid w:val="11DC0920"/>
    <w:rsid w:val="12666BA9"/>
    <w:rsid w:val="126C5501"/>
    <w:rsid w:val="126C7117"/>
    <w:rsid w:val="126D6C33"/>
    <w:rsid w:val="13023513"/>
    <w:rsid w:val="13456871"/>
    <w:rsid w:val="13624F7B"/>
    <w:rsid w:val="13A548EC"/>
    <w:rsid w:val="13B47676"/>
    <w:rsid w:val="144C30DB"/>
    <w:rsid w:val="14704EB4"/>
    <w:rsid w:val="14885C9A"/>
    <w:rsid w:val="14952165"/>
    <w:rsid w:val="14A02B65"/>
    <w:rsid w:val="14A612E1"/>
    <w:rsid w:val="14CC7291"/>
    <w:rsid w:val="14F10084"/>
    <w:rsid w:val="152C79C2"/>
    <w:rsid w:val="15343417"/>
    <w:rsid w:val="15830BD9"/>
    <w:rsid w:val="15AF0D19"/>
    <w:rsid w:val="1644541F"/>
    <w:rsid w:val="16473933"/>
    <w:rsid w:val="168E1562"/>
    <w:rsid w:val="169742A5"/>
    <w:rsid w:val="16D44A3B"/>
    <w:rsid w:val="16ED0036"/>
    <w:rsid w:val="17005FBC"/>
    <w:rsid w:val="171F21BA"/>
    <w:rsid w:val="17261026"/>
    <w:rsid w:val="1731178B"/>
    <w:rsid w:val="17514A69"/>
    <w:rsid w:val="17585E3F"/>
    <w:rsid w:val="17904A46"/>
    <w:rsid w:val="17A032FB"/>
    <w:rsid w:val="17F83C5B"/>
    <w:rsid w:val="182D617D"/>
    <w:rsid w:val="18383533"/>
    <w:rsid w:val="183F0D66"/>
    <w:rsid w:val="18A84DEB"/>
    <w:rsid w:val="18E4492A"/>
    <w:rsid w:val="18E81CF8"/>
    <w:rsid w:val="18EB5DBF"/>
    <w:rsid w:val="19434E35"/>
    <w:rsid w:val="19475A09"/>
    <w:rsid w:val="19DD3290"/>
    <w:rsid w:val="19FE5DCD"/>
    <w:rsid w:val="1A3C68A4"/>
    <w:rsid w:val="1A4C24FC"/>
    <w:rsid w:val="1A507BDA"/>
    <w:rsid w:val="1A7D3DC7"/>
    <w:rsid w:val="1A9F3D91"/>
    <w:rsid w:val="1AC8078F"/>
    <w:rsid w:val="1AD8770C"/>
    <w:rsid w:val="1AEF5419"/>
    <w:rsid w:val="1BB235FD"/>
    <w:rsid w:val="1BCF0CAE"/>
    <w:rsid w:val="1BDC2454"/>
    <w:rsid w:val="1BDF299E"/>
    <w:rsid w:val="1C536B8E"/>
    <w:rsid w:val="1CC8714C"/>
    <w:rsid w:val="1CD37CCF"/>
    <w:rsid w:val="1D084861"/>
    <w:rsid w:val="1D555E57"/>
    <w:rsid w:val="1DA67191"/>
    <w:rsid w:val="1E3824DF"/>
    <w:rsid w:val="1E8C282B"/>
    <w:rsid w:val="1E8F5E77"/>
    <w:rsid w:val="1EEA3234"/>
    <w:rsid w:val="1F283CA2"/>
    <w:rsid w:val="1FC04BE0"/>
    <w:rsid w:val="1FD11ED6"/>
    <w:rsid w:val="206F381A"/>
    <w:rsid w:val="20D92CEB"/>
    <w:rsid w:val="20E22207"/>
    <w:rsid w:val="21311468"/>
    <w:rsid w:val="215D400B"/>
    <w:rsid w:val="215D57C1"/>
    <w:rsid w:val="2199232F"/>
    <w:rsid w:val="21C642C5"/>
    <w:rsid w:val="21E3110C"/>
    <w:rsid w:val="21F82933"/>
    <w:rsid w:val="21FA4A28"/>
    <w:rsid w:val="22551DF6"/>
    <w:rsid w:val="230F0483"/>
    <w:rsid w:val="23BA2425"/>
    <w:rsid w:val="23DE44EE"/>
    <w:rsid w:val="23FB7198"/>
    <w:rsid w:val="24433484"/>
    <w:rsid w:val="251E1D03"/>
    <w:rsid w:val="253A60B0"/>
    <w:rsid w:val="25932023"/>
    <w:rsid w:val="25F72C80"/>
    <w:rsid w:val="267155A3"/>
    <w:rsid w:val="27063627"/>
    <w:rsid w:val="272E3BD8"/>
    <w:rsid w:val="27380499"/>
    <w:rsid w:val="280063F8"/>
    <w:rsid w:val="28173C55"/>
    <w:rsid w:val="284E5C93"/>
    <w:rsid w:val="28700F0C"/>
    <w:rsid w:val="297D5A27"/>
    <w:rsid w:val="297E7214"/>
    <w:rsid w:val="299E1F60"/>
    <w:rsid w:val="29B65A85"/>
    <w:rsid w:val="2A272055"/>
    <w:rsid w:val="2A5A5110"/>
    <w:rsid w:val="2A73621E"/>
    <w:rsid w:val="2ADA4703"/>
    <w:rsid w:val="2B4223AE"/>
    <w:rsid w:val="2B5E10AB"/>
    <w:rsid w:val="2B9A2F19"/>
    <w:rsid w:val="2BF40CC4"/>
    <w:rsid w:val="2C155BC0"/>
    <w:rsid w:val="2C6A14C6"/>
    <w:rsid w:val="2CB35427"/>
    <w:rsid w:val="2D396EA2"/>
    <w:rsid w:val="2D473400"/>
    <w:rsid w:val="2D720854"/>
    <w:rsid w:val="2DC33823"/>
    <w:rsid w:val="2E430DE9"/>
    <w:rsid w:val="2E7D06D3"/>
    <w:rsid w:val="2EC23F2E"/>
    <w:rsid w:val="2EE54DE5"/>
    <w:rsid w:val="2EFA0AB2"/>
    <w:rsid w:val="2EFB46EB"/>
    <w:rsid w:val="2F8B1FB3"/>
    <w:rsid w:val="2FA52647"/>
    <w:rsid w:val="2FA938FF"/>
    <w:rsid w:val="2FF32CEF"/>
    <w:rsid w:val="303074BA"/>
    <w:rsid w:val="30A438DB"/>
    <w:rsid w:val="3143503D"/>
    <w:rsid w:val="31AF440F"/>
    <w:rsid w:val="31D945ED"/>
    <w:rsid w:val="323448E6"/>
    <w:rsid w:val="323A41C5"/>
    <w:rsid w:val="32835F56"/>
    <w:rsid w:val="328E38EA"/>
    <w:rsid w:val="32D00AE0"/>
    <w:rsid w:val="32DE1818"/>
    <w:rsid w:val="32EB18CA"/>
    <w:rsid w:val="33004F4D"/>
    <w:rsid w:val="331C023D"/>
    <w:rsid w:val="33214F45"/>
    <w:rsid w:val="338329B1"/>
    <w:rsid w:val="33AD4B58"/>
    <w:rsid w:val="343972BC"/>
    <w:rsid w:val="343A0557"/>
    <w:rsid w:val="344341AB"/>
    <w:rsid w:val="34886F48"/>
    <w:rsid w:val="356F32F5"/>
    <w:rsid w:val="35BE7316"/>
    <w:rsid w:val="35C10D3F"/>
    <w:rsid w:val="36392ADC"/>
    <w:rsid w:val="365657A0"/>
    <w:rsid w:val="36EE7787"/>
    <w:rsid w:val="37090CD6"/>
    <w:rsid w:val="37DD0BA0"/>
    <w:rsid w:val="37E420A1"/>
    <w:rsid w:val="37E9514E"/>
    <w:rsid w:val="37F92603"/>
    <w:rsid w:val="3891563C"/>
    <w:rsid w:val="389C24A2"/>
    <w:rsid w:val="38D63658"/>
    <w:rsid w:val="38F52E00"/>
    <w:rsid w:val="392A081F"/>
    <w:rsid w:val="394C363D"/>
    <w:rsid w:val="397E6A4B"/>
    <w:rsid w:val="39AE3D98"/>
    <w:rsid w:val="39C73612"/>
    <w:rsid w:val="39DC14D6"/>
    <w:rsid w:val="3A3322E7"/>
    <w:rsid w:val="3A363826"/>
    <w:rsid w:val="3A8E379A"/>
    <w:rsid w:val="3B3D2ACC"/>
    <w:rsid w:val="3B4F5FB3"/>
    <w:rsid w:val="3B5D0C70"/>
    <w:rsid w:val="3BD32A9F"/>
    <w:rsid w:val="3BE242FF"/>
    <w:rsid w:val="3C183432"/>
    <w:rsid w:val="3C2123AD"/>
    <w:rsid w:val="3C6475C9"/>
    <w:rsid w:val="3C684FAD"/>
    <w:rsid w:val="3C716C78"/>
    <w:rsid w:val="3CAB7EC8"/>
    <w:rsid w:val="3CDB6BCB"/>
    <w:rsid w:val="3CED01FD"/>
    <w:rsid w:val="3D210DAF"/>
    <w:rsid w:val="3D241DF9"/>
    <w:rsid w:val="3DEA4A1B"/>
    <w:rsid w:val="3E293FE3"/>
    <w:rsid w:val="3E3B21AC"/>
    <w:rsid w:val="3E4A3A41"/>
    <w:rsid w:val="3E695CC9"/>
    <w:rsid w:val="3E772758"/>
    <w:rsid w:val="3E7F1C51"/>
    <w:rsid w:val="3F540382"/>
    <w:rsid w:val="3F617F58"/>
    <w:rsid w:val="3FAE21A9"/>
    <w:rsid w:val="3FE75540"/>
    <w:rsid w:val="402659EE"/>
    <w:rsid w:val="40E67721"/>
    <w:rsid w:val="410B0A03"/>
    <w:rsid w:val="4125551D"/>
    <w:rsid w:val="413F7118"/>
    <w:rsid w:val="42430014"/>
    <w:rsid w:val="42684F72"/>
    <w:rsid w:val="42872C3E"/>
    <w:rsid w:val="429A4C67"/>
    <w:rsid w:val="42E811BD"/>
    <w:rsid w:val="43D46539"/>
    <w:rsid w:val="442F1A0B"/>
    <w:rsid w:val="44630B78"/>
    <w:rsid w:val="448B50D5"/>
    <w:rsid w:val="449328CD"/>
    <w:rsid w:val="44D0157E"/>
    <w:rsid w:val="44DE410B"/>
    <w:rsid w:val="452F2742"/>
    <w:rsid w:val="45695656"/>
    <w:rsid w:val="45BB117C"/>
    <w:rsid w:val="46245718"/>
    <w:rsid w:val="46446D23"/>
    <w:rsid w:val="47186326"/>
    <w:rsid w:val="47822AED"/>
    <w:rsid w:val="478F36E6"/>
    <w:rsid w:val="47C22EC5"/>
    <w:rsid w:val="47D12ED9"/>
    <w:rsid w:val="47E278FB"/>
    <w:rsid w:val="48725FDC"/>
    <w:rsid w:val="489177E2"/>
    <w:rsid w:val="48B92DDD"/>
    <w:rsid w:val="49701573"/>
    <w:rsid w:val="498A2B76"/>
    <w:rsid w:val="49A33137"/>
    <w:rsid w:val="49B41C4E"/>
    <w:rsid w:val="4A066CB8"/>
    <w:rsid w:val="4A1440DC"/>
    <w:rsid w:val="4A4B4D63"/>
    <w:rsid w:val="4A8A55C1"/>
    <w:rsid w:val="4B132CDA"/>
    <w:rsid w:val="4B2C077E"/>
    <w:rsid w:val="4B3D2633"/>
    <w:rsid w:val="4B737AD7"/>
    <w:rsid w:val="4BB723E6"/>
    <w:rsid w:val="4C5207A8"/>
    <w:rsid w:val="4CB5789B"/>
    <w:rsid w:val="4D0D6D01"/>
    <w:rsid w:val="4D1470DC"/>
    <w:rsid w:val="4D453A21"/>
    <w:rsid w:val="4D665E71"/>
    <w:rsid w:val="4D943E09"/>
    <w:rsid w:val="4E4F2DA9"/>
    <w:rsid w:val="4E791BD4"/>
    <w:rsid w:val="4EAB5528"/>
    <w:rsid w:val="4EFA3120"/>
    <w:rsid w:val="4EFB179F"/>
    <w:rsid w:val="4F016A9E"/>
    <w:rsid w:val="4F135B85"/>
    <w:rsid w:val="4F4246BC"/>
    <w:rsid w:val="4F5F7BAB"/>
    <w:rsid w:val="4F6C0AE6"/>
    <w:rsid w:val="4FCB570C"/>
    <w:rsid w:val="50137E07"/>
    <w:rsid w:val="504A1A7A"/>
    <w:rsid w:val="50824801"/>
    <w:rsid w:val="50FB27C7"/>
    <w:rsid w:val="510B3894"/>
    <w:rsid w:val="514A436A"/>
    <w:rsid w:val="51C32D2F"/>
    <w:rsid w:val="51DD3983"/>
    <w:rsid w:val="520934A3"/>
    <w:rsid w:val="523807B4"/>
    <w:rsid w:val="523A74F6"/>
    <w:rsid w:val="526669AB"/>
    <w:rsid w:val="52A42F98"/>
    <w:rsid w:val="52B96A43"/>
    <w:rsid w:val="532145E9"/>
    <w:rsid w:val="5377065D"/>
    <w:rsid w:val="537840E5"/>
    <w:rsid w:val="53886A7F"/>
    <w:rsid w:val="53AB44B8"/>
    <w:rsid w:val="541C22A0"/>
    <w:rsid w:val="54250C0D"/>
    <w:rsid w:val="54422A68"/>
    <w:rsid w:val="54696065"/>
    <w:rsid w:val="549239F0"/>
    <w:rsid w:val="54DD6D3D"/>
    <w:rsid w:val="54DE6C35"/>
    <w:rsid w:val="552F5CFC"/>
    <w:rsid w:val="55320D2F"/>
    <w:rsid w:val="55640DD4"/>
    <w:rsid w:val="55A70956"/>
    <w:rsid w:val="55D464E5"/>
    <w:rsid w:val="56F24C1A"/>
    <w:rsid w:val="577350BA"/>
    <w:rsid w:val="577E025B"/>
    <w:rsid w:val="57811AFB"/>
    <w:rsid w:val="57A008EC"/>
    <w:rsid w:val="57AD28EF"/>
    <w:rsid w:val="57D61E46"/>
    <w:rsid w:val="57F549C2"/>
    <w:rsid w:val="58A207E6"/>
    <w:rsid w:val="58AB04C8"/>
    <w:rsid w:val="58ED79FF"/>
    <w:rsid w:val="58FD050E"/>
    <w:rsid w:val="59685DD0"/>
    <w:rsid w:val="59B16CA8"/>
    <w:rsid w:val="59D44CEE"/>
    <w:rsid w:val="5A684FFE"/>
    <w:rsid w:val="5B6836FC"/>
    <w:rsid w:val="5BD73DAB"/>
    <w:rsid w:val="5CEA3EA6"/>
    <w:rsid w:val="5D072AA1"/>
    <w:rsid w:val="5D214E4E"/>
    <w:rsid w:val="5D3C4C89"/>
    <w:rsid w:val="5D59082D"/>
    <w:rsid w:val="5E873E9A"/>
    <w:rsid w:val="5ECA3D86"/>
    <w:rsid w:val="5ED07EDF"/>
    <w:rsid w:val="5F7C1524"/>
    <w:rsid w:val="5FA61543"/>
    <w:rsid w:val="601D2D07"/>
    <w:rsid w:val="608368E3"/>
    <w:rsid w:val="60BD57C3"/>
    <w:rsid w:val="61AE54CE"/>
    <w:rsid w:val="61E51D1E"/>
    <w:rsid w:val="620F48D2"/>
    <w:rsid w:val="628C47E7"/>
    <w:rsid w:val="629E645C"/>
    <w:rsid w:val="62B25191"/>
    <w:rsid w:val="630C2C22"/>
    <w:rsid w:val="632E2B36"/>
    <w:rsid w:val="63895282"/>
    <w:rsid w:val="64243C94"/>
    <w:rsid w:val="64414AEB"/>
    <w:rsid w:val="6445282D"/>
    <w:rsid w:val="647D0E43"/>
    <w:rsid w:val="64D25F07"/>
    <w:rsid w:val="65053610"/>
    <w:rsid w:val="651E5B47"/>
    <w:rsid w:val="65AE59DE"/>
    <w:rsid w:val="65AF6821"/>
    <w:rsid w:val="667A652F"/>
    <w:rsid w:val="667F1FC4"/>
    <w:rsid w:val="66C63E61"/>
    <w:rsid w:val="67955AC1"/>
    <w:rsid w:val="67AD0D27"/>
    <w:rsid w:val="67CC4742"/>
    <w:rsid w:val="67DB7004"/>
    <w:rsid w:val="684E6735"/>
    <w:rsid w:val="687F557D"/>
    <w:rsid w:val="68D1498A"/>
    <w:rsid w:val="69224EEB"/>
    <w:rsid w:val="69275E5C"/>
    <w:rsid w:val="69827A90"/>
    <w:rsid w:val="69935DE8"/>
    <w:rsid w:val="69951B60"/>
    <w:rsid w:val="69E65E95"/>
    <w:rsid w:val="6AC81E2B"/>
    <w:rsid w:val="6C105A58"/>
    <w:rsid w:val="6C28375F"/>
    <w:rsid w:val="6C5D01B5"/>
    <w:rsid w:val="6CA63D60"/>
    <w:rsid w:val="6CAF20DF"/>
    <w:rsid w:val="6CDA0F04"/>
    <w:rsid w:val="6D0262E5"/>
    <w:rsid w:val="6D223130"/>
    <w:rsid w:val="6D7E0B5E"/>
    <w:rsid w:val="6DDD76B3"/>
    <w:rsid w:val="6E4056FA"/>
    <w:rsid w:val="6EAF00C5"/>
    <w:rsid w:val="6EC725E2"/>
    <w:rsid w:val="6F0E7CBF"/>
    <w:rsid w:val="6F3141F4"/>
    <w:rsid w:val="6F343AD0"/>
    <w:rsid w:val="6FA652D6"/>
    <w:rsid w:val="70A60860"/>
    <w:rsid w:val="70BF74C3"/>
    <w:rsid w:val="70E21403"/>
    <w:rsid w:val="70F57389"/>
    <w:rsid w:val="7137174F"/>
    <w:rsid w:val="71493231"/>
    <w:rsid w:val="71716922"/>
    <w:rsid w:val="71BF1DB5"/>
    <w:rsid w:val="71E66654"/>
    <w:rsid w:val="71F6793E"/>
    <w:rsid w:val="720108F5"/>
    <w:rsid w:val="722D3A63"/>
    <w:rsid w:val="724542CA"/>
    <w:rsid w:val="724F0D1A"/>
    <w:rsid w:val="72713341"/>
    <w:rsid w:val="727603A8"/>
    <w:rsid w:val="72DA5D4C"/>
    <w:rsid w:val="72FB055A"/>
    <w:rsid w:val="73085DF3"/>
    <w:rsid w:val="73EA0734"/>
    <w:rsid w:val="741915E0"/>
    <w:rsid w:val="74873E03"/>
    <w:rsid w:val="74DB0643"/>
    <w:rsid w:val="74F87447"/>
    <w:rsid w:val="75245F5E"/>
    <w:rsid w:val="76B7601D"/>
    <w:rsid w:val="76E934EC"/>
    <w:rsid w:val="76F37EC6"/>
    <w:rsid w:val="76F84DA0"/>
    <w:rsid w:val="77415633"/>
    <w:rsid w:val="77560DDE"/>
    <w:rsid w:val="77972461"/>
    <w:rsid w:val="780E2306"/>
    <w:rsid w:val="782974BC"/>
    <w:rsid w:val="78395DAD"/>
    <w:rsid w:val="78717722"/>
    <w:rsid w:val="789D5D15"/>
    <w:rsid w:val="78F43DC0"/>
    <w:rsid w:val="78FE34F5"/>
    <w:rsid w:val="794E159C"/>
    <w:rsid w:val="795D3D1D"/>
    <w:rsid w:val="797D43BF"/>
    <w:rsid w:val="79984D55"/>
    <w:rsid w:val="79B17B0A"/>
    <w:rsid w:val="79B95F46"/>
    <w:rsid w:val="7A4D6A17"/>
    <w:rsid w:val="7A5F5873"/>
    <w:rsid w:val="7B02659E"/>
    <w:rsid w:val="7B050A89"/>
    <w:rsid w:val="7B30793B"/>
    <w:rsid w:val="7B516E2D"/>
    <w:rsid w:val="7C3A0BE7"/>
    <w:rsid w:val="7C6316DF"/>
    <w:rsid w:val="7D817FF3"/>
    <w:rsid w:val="7E2467B8"/>
    <w:rsid w:val="7E484F9C"/>
    <w:rsid w:val="7ECF1219"/>
    <w:rsid w:val="7ED625A7"/>
    <w:rsid w:val="7F1906E6"/>
    <w:rsid w:val="7F276BBF"/>
    <w:rsid w:val="7F4A401F"/>
    <w:rsid w:val="7F7F4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99"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2"/>
    <w:basedOn w:val="1"/>
    <w:next w:val="1"/>
    <w:autoRedefine/>
    <w:semiHidden/>
    <w:unhideWhenUsed/>
    <w:qFormat/>
    <w:uiPriority w:val="0"/>
    <w:pPr>
      <w:keepNext/>
      <w:keepLines/>
      <w:spacing w:line="360" w:lineRule="auto"/>
      <w:jc w:val="center"/>
      <w:outlineLvl w:val="1"/>
    </w:pPr>
    <w:rPr>
      <w:rFonts w:ascii="Arial" w:hAnsi="Arial" w:eastAsia="黑体"/>
      <w:b/>
      <w:sz w:val="32"/>
    </w:rPr>
  </w:style>
  <w:style w:type="paragraph" w:styleId="3">
    <w:name w:val="heading 3"/>
    <w:basedOn w:val="1"/>
    <w:next w:val="1"/>
    <w:autoRedefine/>
    <w:qFormat/>
    <w:uiPriority w:val="0"/>
    <w:pPr>
      <w:keepNext/>
      <w:keepLines/>
      <w:spacing w:before="260" w:after="260" w:line="416" w:lineRule="auto"/>
      <w:outlineLvl w:val="2"/>
    </w:pPr>
    <w:rPr>
      <w:b/>
      <w:bCs/>
      <w:sz w:val="32"/>
      <w:szCs w:val="32"/>
    </w:rPr>
  </w:style>
  <w:style w:type="paragraph" w:styleId="4">
    <w:name w:val="heading 4"/>
    <w:basedOn w:val="1"/>
    <w:next w:val="1"/>
    <w:autoRedefine/>
    <w:unhideWhenUsed/>
    <w:qFormat/>
    <w:uiPriority w:val="0"/>
    <w:pPr>
      <w:keepNext/>
      <w:keepLines/>
      <w:ind w:firstLine="883" w:firstLineChars="200"/>
      <w:outlineLvl w:val="3"/>
    </w:pPr>
    <w:rPr>
      <w:rFonts w:ascii="Arial" w:hAnsi="Arial"/>
      <w:b/>
      <w:sz w:val="28"/>
    </w:rPr>
  </w:style>
  <w:style w:type="paragraph" w:styleId="5">
    <w:name w:val="heading 5"/>
    <w:basedOn w:val="1"/>
    <w:next w:val="1"/>
    <w:autoRedefine/>
    <w:qFormat/>
    <w:uiPriority w:val="0"/>
    <w:pPr>
      <w:keepNext/>
      <w:keepLines/>
      <w:numPr>
        <w:ilvl w:val="4"/>
        <w:numId w:val="1"/>
      </w:numPr>
      <w:spacing w:line="600" w:lineRule="exact"/>
      <w:outlineLvl w:val="4"/>
    </w:pPr>
    <w:rPr>
      <w:b/>
      <w:bCs/>
      <w:sz w:val="28"/>
      <w:szCs w:val="28"/>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firstLineChars="200"/>
    </w:pPr>
    <w:rPr>
      <w:sz w:val="21"/>
    </w:rPr>
  </w:style>
  <w:style w:type="paragraph" w:styleId="7">
    <w:name w:val="annotation text"/>
    <w:basedOn w:val="1"/>
    <w:link w:val="55"/>
    <w:autoRedefine/>
    <w:qFormat/>
    <w:uiPriority w:val="0"/>
    <w:pPr>
      <w:jc w:val="left"/>
    </w:pPr>
    <w:rPr>
      <w:sz w:val="21"/>
      <w:szCs w:val="21"/>
    </w:rPr>
  </w:style>
  <w:style w:type="paragraph" w:styleId="8">
    <w:name w:val="Body Text"/>
    <w:basedOn w:val="1"/>
    <w:autoRedefine/>
    <w:qFormat/>
    <w:uiPriority w:val="0"/>
    <w:pPr>
      <w:widowControl/>
      <w:snapToGrid w:val="0"/>
      <w:spacing w:before="60" w:after="160" w:line="259" w:lineRule="auto"/>
      <w:ind w:right="113"/>
    </w:pPr>
    <w:rPr>
      <w:kern w:val="0"/>
      <w:sz w:val="18"/>
      <w:szCs w:val="20"/>
    </w:rPr>
  </w:style>
  <w:style w:type="paragraph" w:styleId="9">
    <w:name w:val="Body Text Indent"/>
    <w:basedOn w:val="1"/>
    <w:next w:val="10"/>
    <w:autoRedefine/>
    <w:qFormat/>
    <w:uiPriority w:val="0"/>
    <w:pPr>
      <w:spacing w:after="120"/>
      <w:ind w:left="420" w:leftChars="200"/>
    </w:pPr>
  </w:style>
  <w:style w:type="paragraph" w:customStyle="1" w:styleId="10">
    <w:name w:val="样式 正文文本缩进 + 行距: 1.5 倍行距"/>
    <w:basedOn w:val="9"/>
    <w:autoRedefine/>
    <w:qFormat/>
    <w:uiPriority w:val="0"/>
    <w:pPr>
      <w:spacing w:line="360" w:lineRule="auto"/>
      <w:ind w:left="90" w:leftChars="32" w:firstLine="560"/>
    </w:pPr>
    <w:rPr>
      <w:rFonts w:cs="宋体"/>
      <w:szCs w:val="20"/>
    </w:rPr>
  </w:style>
  <w:style w:type="paragraph" w:styleId="11">
    <w:name w:val="Plain Text"/>
    <w:basedOn w:val="1"/>
    <w:next w:val="1"/>
    <w:autoRedefine/>
    <w:qFormat/>
    <w:uiPriority w:val="0"/>
    <w:rPr>
      <w:rFonts w:hint="eastAsia" w:ascii="宋体" w:hAnsi="Courier New"/>
      <w:sz w:val="21"/>
    </w:rPr>
  </w:style>
  <w:style w:type="paragraph" w:styleId="12">
    <w:name w:val="List Bullet 5"/>
    <w:basedOn w:val="1"/>
    <w:autoRedefine/>
    <w:qFormat/>
    <w:uiPriority w:val="0"/>
    <w:pPr>
      <w:numPr>
        <w:ilvl w:val="0"/>
        <w:numId w:val="2"/>
      </w:numPr>
    </w:pPr>
  </w:style>
  <w:style w:type="paragraph" w:styleId="13">
    <w:name w:val="Body Text Indent 2"/>
    <w:basedOn w:val="1"/>
    <w:next w:val="1"/>
    <w:autoRedefine/>
    <w:qFormat/>
    <w:uiPriority w:val="0"/>
    <w:pPr>
      <w:spacing w:line="480" w:lineRule="exact"/>
      <w:ind w:left="-122" w:leftChars="-58" w:firstLine="560" w:firstLineChars="200"/>
    </w:pPr>
    <w:rPr>
      <w:sz w:val="28"/>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2"/>
    <w:basedOn w:val="1"/>
    <w:next w:val="1"/>
    <w:autoRedefine/>
    <w:qFormat/>
    <w:uiPriority w:val="39"/>
    <w:pPr>
      <w:ind w:left="420" w:leftChars="200"/>
    </w:pPr>
  </w:style>
  <w:style w:type="paragraph" w:styleId="17">
    <w:name w:val="Body Text 2"/>
    <w:basedOn w:val="1"/>
    <w:autoRedefine/>
    <w:qFormat/>
    <w:uiPriority w:val="0"/>
    <w:pPr>
      <w:spacing w:after="120" w:line="480" w:lineRule="auto"/>
    </w:pPr>
    <w:rPr>
      <w:rFonts w:eastAsia="仿宋_GB2312"/>
    </w:rPr>
  </w:style>
  <w:style w:type="paragraph" w:styleId="18">
    <w:name w:val="List 4"/>
    <w:basedOn w:val="1"/>
    <w:autoRedefine/>
    <w:qFormat/>
    <w:uiPriority w:val="99"/>
    <w:pPr>
      <w:ind w:left="100" w:leftChars="600" w:hanging="200" w:hangingChars="200"/>
      <w:contextualSpacing/>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Cs w:val="20"/>
    </w:rPr>
  </w:style>
  <w:style w:type="paragraph" w:styleId="20">
    <w:name w:val="annotation subject"/>
    <w:basedOn w:val="7"/>
    <w:next w:val="7"/>
    <w:link w:val="56"/>
    <w:autoRedefine/>
    <w:qFormat/>
    <w:uiPriority w:val="0"/>
    <w:rPr>
      <w:b/>
      <w:bCs/>
      <w:sz w:val="24"/>
      <w:szCs w:val="24"/>
    </w:rPr>
  </w:style>
  <w:style w:type="paragraph" w:styleId="21">
    <w:name w:val="Body Text First Indent"/>
    <w:basedOn w:val="8"/>
    <w:next w:val="9"/>
    <w:autoRedefine/>
    <w:qFormat/>
    <w:uiPriority w:val="0"/>
    <w:pPr>
      <w:widowControl w:val="0"/>
      <w:snapToGrid/>
      <w:spacing w:before="0" w:after="120" w:line="360" w:lineRule="auto"/>
      <w:ind w:right="0" w:firstLine="420" w:firstLineChars="100"/>
    </w:pPr>
    <w:rPr>
      <w:kern w:val="2"/>
      <w:sz w:val="24"/>
      <w:szCs w:val="24"/>
    </w:rPr>
  </w:style>
  <w:style w:type="paragraph" w:styleId="22">
    <w:name w:val="Body Text First Indent 2"/>
    <w:basedOn w:val="1"/>
    <w:next w:val="21"/>
    <w:autoRedefine/>
    <w:unhideWhenUsed/>
    <w:qFormat/>
    <w:uiPriority w:val="0"/>
    <w:pPr>
      <w:ind w:firstLine="420"/>
    </w:p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b/>
    </w:rPr>
  </w:style>
  <w:style w:type="character" w:styleId="27">
    <w:name w:val="page number"/>
    <w:basedOn w:val="25"/>
    <w:autoRedefine/>
    <w:qFormat/>
    <w:uiPriority w:val="0"/>
  </w:style>
  <w:style w:type="character" w:styleId="28">
    <w:name w:val="annotation reference"/>
    <w:basedOn w:val="25"/>
    <w:autoRedefine/>
    <w:qFormat/>
    <w:uiPriority w:val="0"/>
    <w:rPr>
      <w:sz w:val="21"/>
      <w:szCs w:val="21"/>
    </w:rPr>
  </w:style>
  <w:style w:type="paragraph" w:customStyle="1" w:styleId="29">
    <w:name w:val="表格内"/>
    <w:basedOn w:val="1"/>
    <w:autoRedefine/>
    <w:qFormat/>
    <w:uiPriority w:val="0"/>
    <w:pPr>
      <w:widowControl/>
      <w:adjustRightInd w:val="0"/>
      <w:snapToGrid w:val="0"/>
      <w:spacing w:after="200" w:line="360" w:lineRule="exact"/>
      <w:jc w:val="center"/>
    </w:pPr>
    <w:rPr>
      <w:rFonts w:eastAsia="微软雅黑"/>
      <w:kern w:val="0"/>
      <w:sz w:val="22"/>
      <w:szCs w:val="22"/>
    </w:rPr>
  </w:style>
  <w:style w:type="paragraph" w:customStyle="1" w:styleId="30">
    <w:name w:val="表格1"/>
    <w:basedOn w:val="1"/>
    <w:autoRedefine/>
    <w:qFormat/>
    <w:uiPriority w:val="0"/>
    <w:pPr>
      <w:jc w:val="center"/>
    </w:pPr>
    <w:rPr>
      <w:rFonts w:eastAsia="方正仿宋_GBK"/>
      <w:color w:val="000000"/>
      <w:kern w:val="0"/>
      <w:sz w:val="21"/>
    </w:rPr>
  </w:style>
  <w:style w:type="paragraph" w:customStyle="1" w:styleId="31">
    <w:name w:val="正文样式2"/>
    <w:basedOn w:val="1"/>
    <w:autoRedefine/>
    <w:qFormat/>
    <w:uiPriority w:val="0"/>
    <w:pPr>
      <w:spacing w:line="560" w:lineRule="exact"/>
      <w:ind w:firstLine="601"/>
    </w:pPr>
    <w:rPr>
      <w:sz w:val="28"/>
    </w:rPr>
  </w:style>
  <w:style w:type="paragraph" w:customStyle="1" w:styleId="32">
    <w:name w:val="表格"/>
    <w:basedOn w:val="19"/>
    <w:next w:val="1"/>
    <w:autoRedefine/>
    <w:qFormat/>
    <w:uiPriority w:val="0"/>
    <w:pPr>
      <w:adjustRightInd w:val="0"/>
      <w:snapToGrid w:val="0"/>
      <w:spacing w:beforeLines="10" w:afterLines="10" w:line="259" w:lineRule="auto"/>
      <w:jc w:val="center"/>
    </w:pPr>
    <w:rPr>
      <w:sz w:val="20"/>
      <w:szCs w:val="21"/>
    </w:rPr>
  </w:style>
  <w:style w:type="paragraph" w:customStyle="1" w:styleId="33">
    <w:name w:val="表格内容"/>
    <w:basedOn w:val="1"/>
    <w:autoRedefine/>
    <w:qFormat/>
    <w:uiPriority w:val="0"/>
    <w:pPr>
      <w:widowControl/>
      <w:adjustRightInd w:val="0"/>
      <w:snapToGrid w:val="0"/>
      <w:spacing w:line="300" w:lineRule="atLeast"/>
      <w:jc w:val="center"/>
    </w:pPr>
    <w:rPr>
      <w:rFonts w:hint="eastAsia" w:ascii="宋体" w:hAnsi="Courier New"/>
      <w:sz w:val="21"/>
      <w:szCs w:val="21"/>
    </w:rPr>
  </w:style>
  <w:style w:type="paragraph" w:customStyle="1" w:styleId="34">
    <w:name w:val="标题 41"/>
    <w:basedOn w:val="1"/>
    <w:autoRedefine/>
    <w:qFormat/>
    <w:uiPriority w:val="0"/>
    <w:pPr>
      <w:keepNext/>
      <w:keepLines/>
      <w:spacing w:before="120" w:after="120" w:line="360" w:lineRule="auto"/>
      <w:ind w:firstLine="200" w:firstLineChars="200"/>
      <w:jc w:val="left"/>
      <w:outlineLvl w:val="3"/>
    </w:pPr>
    <w:rPr>
      <w:rFonts w:ascii="Arial" w:hAnsi="Arial"/>
      <w:b/>
      <w:kern w:val="0"/>
    </w:rPr>
  </w:style>
  <w:style w:type="paragraph" w:customStyle="1" w:styleId="35">
    <w:name w:val="Other|1"/>
    <w:basedOn w:val="1"/>
    <w:autoRedefine/>
    <w:qFormat/>
    <w:uiPriority w:val="0"/>
    <w:pPr>
      <w:spacing w:line="394" w:lineRule="auto"/>
      <w:ind w:firstLine="400"/>
    </w:pPr>
    <w:rPr>
      <w:rFonts w:ascii="宋体" w:hAnsi="宋体" w:cs="宋体"/>
      <w:sz w:val="30"/>
      <w:szCs w:val="30"/>
      <w:lang w:val="zh-TW" w:eastAsia="zh-TW" w:bidi="zh-TW"/>
    </w:rPr>
  </w:style>
  <w:style w:type="paragraph" w:customStyle="1" w:styleId="36">
    <w:name w:val="xl27"/>
    <w:basedOn w:val="1"/>
    <w:next w:val="13"/>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7">
    <w:name w:val="样式 样式 (符号) 宋体 小四 行距: 1.5 倍行距 + 首行缩进:  0 字符"/>
    <w:basedOn w:val="38"/>
    <w:autoRedefine/>
    <w:qFormat/>
    <w:uiPriority w:val="0"/>
    <w:pPr>
      <w:adjustRightInd w:val="0"/>
      <w:snapToGrid w:val="0"/>
      <w:ind w:firstLine="200"/>
    </w:pPr>
    <w:rPr>
      <w:rFonts w:hAnsi="Times New Roman"/>
      <w:kern w:val="0"/>
    </w:rPr>
  </w:style>
  <w:style w:type="paragraph" w:customStyle="1" w:styleId="38">
    <w:name w:val="样式 (符号) 宋体 小四 行距: 1.5 倍行距"/>
    <w:basedOn w:val="1"/>
    <w:autoRedefine/>
    <w:semiHidden/>
    <w:qFormat/>
    <w:uiPriority w:val="0"/>
    <w:pPr>
      <w:ind w:firstLine="480"/>
    </w:pPr>
    <w:rPr>
      <w:rFonts w:hAnsi="宋体" w:cs="宋体"/>
    </w:rPr>
  </w:style>
  <w:style w:type="paragraph" w:customStyle="1" w:styleId="39">
    <w:name w:val="中文报告书样式"/>
    <w:basedOn w:val="1"/>
    <w:autoRedefine/>
    <w:qFormat/>
    <w:uiPriority w:val="0"/>
    <w:pPr>
      <w:adjustRightInd w:val="0"/>
      <w:spacing w:line="480" w:lineRule="atLeast"/>
      <w:ind w:firstLine="482"/>
      <w:textAlignment w:val="baseline"/>
    </w:pPr>
    <w:rPr>
      <w:kern w:val="24"/>
    </w:rPr>
  </w:style>
  <w:style w:type="paragraph" w:customStyle="1" w:styleId="40">
    <w:name w:val="Table Paragraph"/>
    <w:basedOn w:val="1"/>
    <w:autoRedefine/>
    <w:qFormat/>
    <w:uiPriority w:val="0"/>
    <w:pPr>
      <w:autoSpaceDE w:val="0"/>
      <w:autoSpaceDN w:val="0"/>
      <w:jc w:val="center"/>
    </w:pPr>
    <w:rPr>
      <w:kern w:val="0"/>
      <w:sz w:val="22"/>
      <w:szCs w:val="22"/>
    </w:rPr>
  </w:style>
  <w:style w:type="paragraph" w:styleId="41">
    <w:name w:val="List Paragraph"/>
    <w:basedOn w:val="1"/>
    <w:autoRedefine/>
    <w:qFormat/>
    <w:uiPriority w:val="1"/>
    <w:pPr>
      <w:ind w:left="1407" w:hanging="602"/>
    </w:pPr>
    <w:rPr>
      <w:rFonts w:ascii="宋体" w:hAnsi="宋体" w:cs="宋体"/>
      <w:lang w:val="zh-CN" w:bidi="zh-CN"/>
    </w:rPr>
  </w:style>
  <w:style w:type="paragraph" w:customStyle="1" w:styleId="42">
    <w:name w:val="Char Char Char Char Char Char Char"/>
    <w:basedOn w:val="1"/>
    <w:autoRedefine/>
    <w:qFormat/>
    <w:uiPriority w:val="0"/>
    <w:pPr>
      <w:widowControl/>
      <w:jc w:val="left"/>
    </w:pPr>
    <w:rPr>
      <w:rFonts w:ascii="Tahoma" w:hAnsi="Tahoma" w:eastAsia="Tahoma"/>
      <w:kern w:val="0"/>
    </w:rPr>
  </w:style>
  <w:style w:type="paragraph" w:customStyle="1" w:styleId="43">
    <w:name w:val="Char Char Char Char"/>
    <w:basedOn w:val="1"/>
    <w:autoRedefine/>
    <w:qFormat/>
    <w:uiPriority w:val="0"/>
    <w:pPr>
      <w:spacing w:line="360" w:lineRule="auto"/>
      <w:ind w:firstLine="200" w:firstLineChars="200"/>
    </w:pPr>
    <w:rPr>
      <w:rFonts w:hint="eastAsia" w:ascii="宋体" w:hAnsi="宋体"/>
    </w:rPr>
  </w:style>
  <w:style w:type="paragraph" w:customStyle="1" w:styleId="44">
    <w:name w:val="样式 正文文字-1 + 首行缩进: 2.1 字符1"/>
    <w:basedOn w:val="1"/>
    <w:autoRedefine/>
    <w:qFormat/>
    <w:uiPriority w:val="0"/>
    <w:pPr>
      <w:widowControl/>
      <w:spacing w:line="440" w:lineRule="exact"/>
      <w:ind w:firstLine="210"/>
      <w:jc w:val="left"/>
    </w:pPr>
    <w:rPr>
      <w:kern w:val="0"/>
      <w:sz w:val="20"/>
      <w:szCs w:val="20"/>
    </w:rPr>
  </w:style>
  <w:style w:type="table" w:customStyle="1" w:styleId="45">
    <w:name w:val="Table Normal"/>
    <w:autoRedefine/>
    <w:semiHidden/>
    <w:unhideWhenUsed/>
    <w:qFormat/>
    <w:uiPriority w:val="0"/>
    <w:tblPr>
      <w:tblCellMar>
        <w:top w:w="0" w:type="dxa"/>
        <w:left w:w="0" w:type="dxa"/>
        <w:bottom w:w="0" w:type="dxa"/>
        <w:right w:w="0" w:type="dxa"/>
      </w:tblCellMar>
    </w:tblPr>
  </w:style>
  <w:style w:type="paragraph" w:customStyle="1" w:styleId="46">
    <w:name w:val="Table Text"/>
    <w:basedOn w:val="1"/>
    <w:autoRedefine/>
    <w:semiHidden/>
    <w:qFormat/>
    <w:uiPriority w:val="0"/>
    <w:rPr>
      <w:rFonts w:ascii="Arial" w:hAnsi="Arial" w:eastAsia="Arial" w:cs="Arial"/>
      <w:sz w:val="21"/>
      <w:szCs w:val="21"/>
      <w:lang w:eastAsia="en-US"/>
    </w:rPr>
  </w:style>
  <w:style w:type="character" w:customStyle="1" w:styleId="47">
    <w:name w:val="fontstyle01"/>
    <w:basedOn w:val="25"/>
    <w:autoRedefine/>
    <w:qFormat/>
    <w:uiPriority w:val="0"/>
    <w:rPr>
      <w:rFonts w:hint="eastAsia" w:ascii="宋体" w:hAnsi="宋体" w:eastAsia="宋体" w:cs="宋体"/>
      <w:color w:val="000000"/>
      <w:sz w:val="24"/>
      <w:szCs w:val="24"/>
    </w:rPr>
  </w:style>
  <w:style w:type="paragraph" w:customStyle="1" w:styleId="48">
    <w:name w:val="!正文(alt+c)"/>
    <w:autoRedefine/>
    <w:qFormat/>
    <w:uiPriority w:val="0"/>
    <w:pPr>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49">
    <w:name w:val="表头"/>
    <w:basedOn w:val="50"/>
    <w:next w:val="1"/>
    <w:autoRedefine/>
    <w:qFormat/>
    <w:uiPriority w:val="0"/>
    <w:pPr>
      <w:tabs>
        <w:tab w:val="left" w:pos="1114"/>
      </w:tabs>
      <w:spacing w:after="200" w:line="500" w:lineRule="exact"/>
      <w:ind w:firstLine="374" w:firstLineChars="178"/>
      <w:jc w:val="both"/>
    </w:pPr>
    <w:rPr>
      <w:rFonts w:eastAsia="华文中宋"/>
      <w:b/>
      <w:lang w:val="zh-CN"/>
    </w:rPr>
  </w:style>
  <w:style w:type="paragraph" w:customStyle="1" w:styleId="50">
    <w:name w:val="正文1"/>
    <w:basedOn w:val="6"/>
    <w:next w:val="6"/>
    <w:autoRedefine/>
    <w:qFormat/>
    <w:uiPriority w:val="0"/>
    <w:pPr>
      <w:tabs>
        <w:tab w:val="left" w:pos="1114"/>
      </w:tabs>
      <w:spacing w:line="360" w:lineRule="exact"/>
      <w:jc w:val="center"/>
    </w:pPr>
    <w:rPr>
      <w:color w:val="000000"/>
      <w:szCs w:val="21"/>
    </w:rPr>
  </w:style>
  <w:style w:type="paragraph" w:customStyle="1" w:styleId="51">
    <w:name w:val="表格题目1"/>
    <w:basedOn w:val="1"/>
    <w:autoRedefine/>
    <w:qFormat/>
    <w:uiPriority w:val="0"/>
    <w:pPr>
      <w:ind w:firstLine="525" w:firstLineChars="250"/>
      <w:jc w:val="left"/>
    </w:pPr>
    <w:rPr>
      <w:rFonts w:eastAsia="黑体"/>
      <w:color w:val="000000"/>
    </w:rPr>
  </w:style>
  <w:style w:type="paragraph" w:customStyle="1" w:styleId="52">
    <w:name w:val="表格内容1"/>
    <w:basedOn w:val="1"/>
    <w:autoRedefine/>
    <w:qFormat/>
    <w:uiPriority w:val="0"/>
    <w:pPr>
      <w:widowControl/>
      <w:jc w:val="center"/>
    </w:pPr>
    <w:rPr>
      <w:color w:val="000000"/>
      <w:kern w:val="0"/>
      <w:szCs w:val="21"/>
    </w:rPr>
  </w:style>
  <w:style w:type="paragraph" w:customStyle="1" w:styleId="53">
    <w:name w:val="！正文"/>
    <w:basedOn w:val="1"/>
    <w:autoRedefine/>
    <w:qFormat/>
    <w:uiPriority w:val="0"/>
    <w:pPr>
      <w:spacing w:line="500" w:lineRule="exact"/>
      <w:ind w:firstLine="200" w:firstLineChars="200"/>
    </w:pPr>
    <w:rPr>
      <w:kern w:val="0"/>
    </w:rPr>
  </w:style>
  <w:style w:type="paragraph" w:customStyle="1" w:styleId="54">
    <w:name w:val="表、图名"/>
    <w:basedOn w:val="1"/>
    <w:autoRedefine/>
    <w:qFormat/>
    <w:uiPriority w:val="0"/>
    <w:pPr>
      <w:adjustRightInd w:val="0"/>
      <w:snapToGrid w:val="0"/>
      <w:jc w:val="center"/>
    </w:pPr>
    <w:rPr>
      <w:b/>
      <w:color w:val="000000"/>
      <w:kern w:val="0"/>
      <w:szCs w:val="20"/>
    </w:rPr>
  </w:style>
  <w:style w:type="character" w:customStyle="1" w:styleId="55">
    <w:name w:val="批注文字 字符"/>
    <w:basedOn w:val="25"/>
    <w:link w:val="7"/>
    <w:autoRedefine/>
    <w:qFormat/>
    <w:uiPriority w:val="0"/>
    <w:rPr>
      <w:kern w:val="2"/>
      <w:sz w:val="21"/>
      <w:szCs w:val="21"/>
    </w:rPr>
  </w:style>
  <w:style w:type="character" w:customStyle="1" w:styleId="56">
    <w:name w:val="批注主题 字符"/>
    <w:basedOn w:val="55"/>
    <w:link w:val="20"/>
    <w:autoRedefine/>
    <w:qFormat/>
    <w:uiPriority w:val="0"/>
    <w:rPr>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jpeg"/><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wmf"/><Relationship Id="rId46" Type="http://schemas.openxmlformats.org/officeDocument/2006/relationships/oleObject" Target="embeddings/oleObject1.bin"/><Relationship Id="rId45" Type="http://schemas.openxmlformats.org/officeDocument/2006/relationships/image" Target="media/image41.wmf"/><Relationship Id="rId44" Type="http://schemas.openxmlformats.org/officeDocument/2006/relationships/image" Target="media/image40.wmf"/><Relationship Id="rId43" Type="http://schemas.openxmlformats.org/officeDocument/2006/relationships/image" Target="media/image39.wmf"/><Relationship Id="rId42" Type="http://schemas.openxmlformats.org/officeDocument/2006/relationships/image" Target="media/image38.wmf"/><Relationship Id="rId41" Type="http://schemas.openxmlformats.org/officeDocument/2006/relationships/image" Target="media/image37.wmf"/><Relationship Id="rId40" Type="http://schemas.openxmlformats.org/officeDocument/2006/relationships/image" Target="media/image36.wmf"/><Relationship Id="rId4" Type="http://schemas.openxmlformats.org/officeDocument/2006/relationships/theme" Target="theme/theme1.xml"/><Relationship Id="rId39" Type="http://schemas.openxmlformats.org/officeDocument/2006/relationships/image" Target="media/image35.wmf"/><Relationship Id="rId38" Type="http://schemas.openxmlformats.org/officeDocument/2006/relationships/image" Target="media/image34.wmf"/><Relationship Id="rId37" Type="http://schemas.openxmlformats.org/officeDocument/2006/relationships/image" Target="media/image33.wmf"/><Relationship Id="rId36" Type="http://schemas.openxmlformats.org/officeDocument/2006/relationships/image" Target="media/image32.wmf"/><Relationship Id="rId35" Type="http://schemas.openxmlformats.org/officeDocument/2006/relationships/image" Target="media/image31.wmf"/><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wmf"/><Relationship Id="rId31" Type="http://schemas.openxmlformats.org/officeDocument/2006/relationships/image" Target="media/image27.wmf"/><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wmf"/><Relationship Id="rId28" Type="http://schemas.openxmlformats.org/officeDocument/2006/relationships/image" Target="media/image24.wmf"/><Relationship Id="rId27" Type="http://schemas.openxmlformats.org/officeDocument/2006/relationships/image" Target="media/image23.wmf"/><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11579</Words>
  <Characters>66002</Characters>
  <Lines>550</Lines>
  <Paragraphs>154</Paragraphs>
  <TotalTime>1</TotalTime>
  <ScaleCrop>false</ScaleCrop>
  <LinksUpToDate>false</LinksUpToDate>
  <CharactersWithSpaces>77427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2024-03-13T15:37:00Z</dcterms:created>
  <dc:creator>以梣沒</dc:creator>
  <cp:lastModifiedBy>天蓝蓝蓝</cp:lastModifiedBy>
  <dcterms:modified xsi:type="dcterms:W3CDTF">2024-03-28T10:23:08Z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C7AF19D73E694BD3AE8250D1CFDC8192_13</vt:lpwstr>
  </property>
</Properties>
</file>