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0"/>
          <w:szCs w:val="40"/>
          <w:shd w:val="clear" w:fill="FFFFFF"/>
          <w:vertAlign w:val="baseline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shd w:val="clear" w:fill="FFFFFF"/>
          <w:vertAlign w:val="baseline"/>
          <w:lang w:val="en-US" w:eastAsia="zh-CN"/>
        </w:rPr>
        <w:t>孵化载体指标完成情况及评定结果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  <w:t>阳光众创（2021年7月-12月）指标完成情况</w:t>
      </w:r>
    </w:p>
    <w:tbl>
      <w:tblPr>
        <w:tblStyle w:val="5"/>
        <w:tblW w:w="8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6120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4" w:line="22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1"/>
                <w:szCs w:val="21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1"/>
                <w:szCs w:val="21"/>
              </w:rPr>
              <w:t>目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4" w:line="22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</w:rPr>
              <w:t>指标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  <w:lang w:val="en-US" w:eastAsia="zh-CN"/>
              </w:rPr>
              <w:t>指标减半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3" w:line="219" w:lineRule="auto"/>
              <w:ind w:left="18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基本指标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年协议在孵企业（团队）须不低于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家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17家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企业每年须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解决不少于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人就业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每年须开展的创新创业活动不少于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场次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载体及其在孵企业每年地方经济贡献合计须不少于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万元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7" w:line="169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1672691.29元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评定结果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7" w:line="169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  <w:t>阳光众创（2022年1月-12月）指标完成情况</w:t>
      </w:r>
    </w:p>
    <w:tbl>
      <w:tblPr>
        <w:tblStyle w:val="5"/>
        <w:tblW w:w="8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6105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4" w:line="22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1"/>
                <w:szCs w:val="21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1"/>
                <w:szCs w:val="21"/>
              </w:rPr>
              <w:t>目</w:t>
            </w:r>
          </w:p>
        </w:tc>
        <w:tc>
          <w:tcPr>
            <w:tcW w:w="6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4" w:line="22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3" w:line="219" w:lineRule="auto"/>
              <w:ind w:left="18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基本指标</w:t>
            </w:r>
          </w:p>
        </w:tc>
        <w:tc>
          <w:tcPr>
            <w:tcW w:w="6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年协议在孵企业（团队）须不低于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家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32家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企业每年须解决不少于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人就业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86人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每年须开展的创新创业活动不少于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场次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11场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载体及其在孵企业每年地方经济贡献合计须不少于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万元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7" w:line="169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1031974.03元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评定结果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7" w:line="169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</w:pPr>
    </w:p>
    <w:p>
      <w:pPr>
        <w:jc w:val="center"/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  <w:t>古城众创（2021年7月-12月）指标完成情况</w:t>
      </w:r>
    </w:p>
    <w:tbl>
      <w:tblPr>
        <w:tblStyle w:val="5"/>
        <w:tblW w:w="8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6105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4" w:line="22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1"/>
                <w:szCs w:val="21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1"/>
                <w:szCs w:val="21"/>
              </w:rPr>
              <w:t>目</w:t>
            </w:r>
          </w:p>
        </w:tc>
        <w:tc>
          <w:tcPr>
            <w:tcW w:w="6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4" w:line="22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</w:rPr>
              <w:t>指标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  <w:lang w:val="en-US" w:eastAsia="zh-CN"/>
              </w:rPr>
              <w:t>指标减半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3" w:line="219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基本指标</w:t>
            </w:r>
          </w:p>
        </w:tc>
        <w:tc>
          <w:tcPr>
            <w:tcW w:w="6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年协议在孵企业（团队）须不低于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家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49家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企业每年须解决不少于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人就业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64人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每年须开展的创新创业活动不少于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场次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1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载体及其在孵企业每年地方经济贡献合计须不少于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万元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7" w:line="169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1263303.24元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评定结果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7" w:line="169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  <w:t>古城众创（2022年1月-12月）指标完成情况</w:t>
      </w:r>
    </w:p>
    <w:tbl>
      <w:tblPr>
        <w:tblStyle w:val="5"/>
        <w:tblW w:w="8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6212"/>
        <w:gridCol w:w="1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4" w:line="22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1"/>
                <w:szCs w:val="21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1"/>
                <w:szCs w:val="21"/>
              </w:rPr>
              <w:t>目</w:t>
            </w:r>
          </w:p>
        </w:tc>
        <w:tc>
          <w:tcPr>
            <w:tcW w:w="6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4" w:line="22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3" w:line="219" w:lineRule="auto"/>
              <w:ind w:left="18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基本指标</w:t>
            </w:r>
          </w:p>
        </w:tc>
        <w:tc>
          <w:tcPr>
            <w:tcW w:w="6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年协议在孵企业（团队）须不低于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家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52家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企业每年须解决不少于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人就业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68人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每年须开展的创新创业活动不少于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场次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载体及其在孵企业每年地方经济贡献合计须不少于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万元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7" w:line="169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5275838.17元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评定结果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7" w:line="169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jc w:val="center"/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</w:pPr>
    </w:p>
    <w:p>
      <w:pPr>
        <w:jc w:val="center"/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lang w:val="en-US" w:eastAsia="zh-CN"/>
        </w:rPr>
        <w:t>弘一生产力（2022年1月-12月）指标完成情况</w:t>
      </w:r>
    </w:p>
    <w:tbl>
      <w:tblPr>
        <w:tblStyle w:val="5"/>
        <w:tblW w:w="85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6212"/>
        <w:gridCol w:w="1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4" w:line="22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1"/>
                <w:szCs w:val="21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pacing w:val="-6"/>
                <w:sz w:val="21"/>
                <w:szCs w:val="21"/>
              </w:rPr>
              <w:t>目</w:t>
            </w:r>
          </w:p>
        </w:tc>
        <w:tc>
          <w:tcPr>
            <w:tcW w:w="6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4" w:line="22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243" w:line="219" w:lineRule="auto"/>
              <w:ind w:left="18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3"/>
                <w:sz w:val="21"/>
                <w:szCs w:val="21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基本指标</w:t>
            </w:r>
          </w:p>
        </w:tc>
        <w:tc>
          <w:tcPr>
            <w:tcW w:w="6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年协议在孵企业（团队）须不低于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1"/>
                <w:szCs w:val="21"/>
              </w:rPr>
              <w:t>家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39 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企业每年须解决不少于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人就业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7" w:line="169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未提供就业单据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每年须开展的创新创业活动不少于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场次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43" w:line="172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11场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62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载体及其在孵企业每年地方经济贡献合计须不少于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万元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7" w:line="169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未提供纳税单据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评定结果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57" w:line="169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不合格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shd w:val="clear" w:fill="FFFFFF"/>
          <w:vertAlign w:val="baseline"/>
        </w:rPr>
      </w:pPr>
    </w:p>
    <w:p/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zQzMDc0ZDNjY2ZhZGQ0NzU0NjhiNTVmMzcxMWMifQ=="/>
  </w:docVars>
  <w:rsids>
    <w:rsidRoot w:val="00000000"/>
    <w:rsid w:val="14CF3F55"/>
    <w:rsid w:val="68CA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720" w:firstLineChars="200"/>
      <w:outlineLvl w:val="2"/>
    </w:pPr>
    <w:rPr>
      <w:rFonts w:eastAsia="仿宋_GB2312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720</Characters>
  <Lines>0</Lines>
  <Paragraphs>0</Paragraphs>
  <TotalTime>1</TotalTime>
  <ScaleCrop>false</ScaleCrop>
  <LinksUpToDate>false</LinksUpToDate>
  <CharactersWithSpaces>726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2023-07-10T10:37:00Z</dcterms:created>
  <dc:creator>86135</dc:creator>
  <cp:lastModifiedBy>文档存本地丢失不负责</cp:lastModifiedBy>
  <dcterms:modified xsi:type="dcterms:W3CDTF">2023-07-10T10:53:48Z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3E36B537A2264C81A291B6BE9F3BA41C_13</vt:lpwstr>
  </property>
</Properties>
</file>