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喀什经济开发区城北转化加工区十一县基础设施建设项目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城北转化加工管理服务中心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城北转化加工管理服务中心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梁霞</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喀什经济开发区城北转化加工区十一县基础设施建设项目实施前期、过程及效果，评价财政预算资金使用的效率及效益。通过该项目的实施，保障喀什经济开发区城北转化加工区十一县基础设施建设资金，进一步提高城北营商环境，推动园区建设和产业发展，促进十一县产业园更好更快发展。</w:t>
        <w:br/>
        <w:t>2. 主要内容及实施情况</w:t>
        <w:br/>
        <w:t>本项目主要用于十一县园区基础设施建设资金拨付。县园区基础设施建设资金拨付共1898.15万元，具体拨付额度为：巴楚县57.7万元、疏附县155.89万元、叶城县45.89万元、伽师县57.346万元、莎车县273.846万元、塔什库尔干县1000万元、泽普县67.7万元、疏勒县85万元、英吉沙县16.432万元、岳普湖县138.346万元。通过实施该项目保障喀什经济开发区城北转化加工区十一县基础设施建设资金，并提高区域营商环境，达到维护开发区社会大局和谐稳定，进一步推动了园区基础设施建设的完善和产业的发展，促进十一县产业园高质量发展的效果。</w:t>
        <w:br/>
        <w:t>3.项目实施主体</w:t>
        <w:br/>
        <w:t>喀什经济开发区城北加工产业发展服务中心为全额事业单位，纳入2023年部门决算编制范围的有1个办公室：喀什经济开发区城北加工产业发展服务中心。</w:t>
        <w:br/>
        <w:t>编制人数8人，其中：行政人员编制0人、工勤0人、参公0人、事业编制8人。实有在职人数8人，其中：行政在职0人、工勤0人、参公0人、事业在职8人。离退休人员0人，其中：行政退休人员0人、事业退休0人0。</w:t>
        <w:br/>
        <w:t>4. 资金投入和使用情况</w:t>
        <w:br/>
        <w:t>喀什经济开发区城北转化加工区十一县基础设施建设项目根据地委《印发〈关于推动喀什地区“一区一市两县” 园区体制机制改革的实施意见 （试行）〉的通知》喀党办发〔2020〕10 号文件有关精神、喀什经济开发区财经委员会2023年10月28日第五次财经会议纪要、财政局《关于追加十一县项目资金的请示》相关精神、开发区规土局测算十一县园区基础设施建设资金拨付金额实施此项目。喀什经济开发区本级财政预算资金安排，最终确定项目资金总数为1898.15万元。</w:t>
        <w:br/>
        <w:t>截至2023年12月31日，实际支出1898.15万元，预算执行率100%。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喀什经济开发区城北转化加工区十一县基础设施建设项目，项目总投资1898.15万元，其中拨付资金支出1898.15万元；主要用于飞地园区建设奖补资金，用于保障喀什经济开发区城北转化加工区十一县基础设施建设项目。通过实施该项目进一步提高城北营商环境，推动园区建设和产业发展，促进十一县产业园更好更快发展。</w:t>
        <w:br/>
        <w:t>2.阶段性目标</w:t>
        <w:br/>
        <w:t>（1）第一阶段前期准备</w:t>
        <w:br/>
        <w:t>首先按照符喀什经济开发区城北转化加工区十一县基础设施建设项目要求通知企业准备申报资料、对接相对的企业、符不符合补贴要求、编制实施方案、准备前期工作。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</w:t>
        <w:br/>
        <w:t>（4）第四阶段 项目受益调查 </w:t>
        <w:br/>
        <w:t>喀什经济开发区城北转化加工区十一县基础设施建设项目、以问卷调查方式受益对象进行满意度调查。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</w:t>
        <w:br/>
        <w:t>我单位绩效评价人员根据《项目支出绩效评价管理办法》（财预〔2020〕10号）文件精神认真学习相关要求与规定，成立绩效评价工作组，作为绩效评价工作具体实施机构。成员构成如下：</w:t>
        <w:br/>
        <w:t>鞠登国任评价组组长，绩效评价工作职责为负责全盘工作。</w:t>
        <w:br/>
        <w:t>马章任评价组副组长，绩效评价工作职责为为对项目实施情况进行实地调查。</w:t>
        <w:br/>
        <w:t>梁霞任评价组成员，绩效评价工作职责为负责资料审核等工作。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w:t>
        <w:br/>
        <w:t>喀什经济开发区城北转化加工区十一县基础设施建设项目得分情况表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喀什经济开发区城北转化加工区十一县基础设施建设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（1）立项依据充分性：结合喀什经济开发区城北加工产业发展服务中心主要职责，并组织实施。围绕2023年度工作重点和工作计划制定经费预算，根据评分标准，该指标不扣分，得3分。</w:t>
        <w:br/>
        <w:t>（2）立项程序规范性：根据决策依据编制工作计划和经费预算，经过与项目分管领导进行沟通、筛选确定经费预算计划，上党委会研究确定最终预算方案，根据评分标准，该指标不扣分，得2分。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（2）预算执行率：预算编制较为详细，项目资金执行率100.0%，根据评分标准，该指标不扣分，得5分。</w:t>
        <w:br/>
        <w:t>（3）资金使用合规性：制定了相关的制度和管理规定对经费使用进行规范管理，财务制度健全、执行严格，根据评分标准，该指标不扣分，得5分。</w:t>
        <w:br/>
        <w:t>（4）管理制度健全性：制定了农业农村局相关管理办法，对财政专项资金进行严格管理，基本做到了专款专用，根据评分标准，该指标不扣分，得2分。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“拨付县市数量（个）”指标，预期指标值为大于等于10个，实际完成值为10个，指标完成率为100%，与预期目标一致，根据评分标准，该指标不扣分，得10分。</w:t>
        <w:br/>
        <w:t>（2）对于“产出质量”：</w:t>
        <w:br/>
        <w:t>“资金使用合规性（%）”指标，预期指标值为等于100%，实际完成值为100%，指标完成率为100%，与预期目标一致，根据评分标准，该指标不扣分，得10分。</w:t>
        <w:br/>
        <w:t>（3）对于“产出时效”：</w:t>
        <w:br/>
        <w:t>“资金支付及时率（%）”指标，预期指标值为等于100%，实际完成值为100%，指标完成率为100%，与预期目标一致，根据评分标准，该指标不扣分，得10分。</w:t>
        <w:br/>
        <w:t>（4）对于“产出成本”：</w:t>
        <w:br/>
        <w:t>“拨付资金支出（万元）”指标，预期指标值为小于等于1898.15万元，实际完成值为1898.15万元，指标完成率为100%，根据国库集中支付明细表可知，拨付资金标准在绩效目标范围内，根据评分标准，该指标不扣分，得5分。</w:t>
        <w:br/>
        <w:t>“项目预算控制率（%）”指标，预期指标值为等于100%，实际完成值为100%，指标完成率为100%，与预期目标一致，根据评分标准，该指标不扣分，得5分。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“提升开发区营商环境”指标，该指标预期指标值为提升，实际完成值为提升，指标完成率为100%。与预期目标一致，根据评分标准，该指标不扣分，得10分。</w:t>
        <w:br/>
        <w:t>（2）对于“经济效益指标”：</w:t>
        <w:br/>
        <w:t xml:space="preserve"> 此项目本年无经济效益指标。</w:t>
        <w:br/>
        <w:t>（3）对于“生态效益指标”：</w:t>
        <w:br/>
        <w:t>此项目本年无生态效益指标。</w:t>
        <w:br/>
        <w:t>合计得分10分。</w:t>
        <w:br/>
        <w:t>2.满意度指标分析</w:t>
        <w:br/>
        <w:t>对于“满意度指标：受补贴园区满意度（%）指标，该指标预期指标值为大于等于95%，实际完成值为99%，指标完成率为104%，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经济开发区城北转化加工区十一县基础设施建设项目预算1898.15万元，到位1898.15万元，实际支出1898.15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城北转化加工管理服务中心不断加强预算绩效管理制度建设，认真编制预算支出绩效目标，加强组织领导，积极开展绩效评价，预算绩效管理取得一定成效。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